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0F" w:rsidRPr="00292C0F" w:rsidRDefault="00292C0F" w:rsidP="00292C0F">
      <w:pPr>
        <w:spacing w:after="0" w:line="240" w:lineRule="auto"/>
        <w:jc w:val="center"/>
        <w:rPr>
          <w:rFonts w:ascii="Verdana" w:eastAsia="Calibri" w:hAnsi="Verdana" w:cstheme="minorHAnsi"/>
          <w:sz w:val="32"/>
          <w:szCs w:val="32"/>
        </w:rPr>
      </w:pPr>
      <w:r w:rsidRPr="00292C0F">
        <w:rPr>
          <w:rStyle w:val="heading10"/>
          <w:rFonts w:cstheme="minorHAnsi"/>
          <w:sz w:val="32"/>
          <w:szCs w:val="32"/>
        </w:rPr>
        <w:t>ALTA’s Best Practices -- Sample Policies and Procedures</w:t>
      </w:r>
    </w:p>
    <w:p w:rsidR="00EF7D38" w:rsidRPr="00292C0F" w:rsidRDefault="00292C0F" w:rsidP="00EF7D38">
      <w:pPr>
        <w:spacing w:after="0" w:line="240" w:lineRule="auto"/>
        <w:jc w:val="center"/>
        <w:rPr>
          <w:b/>
          <w:bCs/>
          <w:color w:val="FF0000"/>
          <w:sz w:val="28"/>
          <w:szCs w:val="28"/>
        </w:rPr>
      </w:pPr>
      <w:r w:rsidRPr="00292C0F">
        <w:rPr>
          <w:rStyle w:val="heading10"/>
          <w:rFonts w:cstheme="minorHAnsi"/>
          <w:sz w:val="32"/>
          <w:szCs w:val="32"/>
        </w:rPr>
        <w:t xml:space="preserve">Pillar </w:t>
      </w:r>
      <w:r w:rsidR="00F425DC" w:rsidRPr="00292C0F">
        <w:rPr>
          <w:rStyle w:val="heading10"/>
          <w:color w:val="auto"/>
          <w:sz w:val="32"/>
          <w:szCs w:val="32"/>
        </w:rPr>
        <w:t xml:space="preserve">#6 </w:t>
      </w:r>
      <w:r w:rsidR="007719D7">
        <w:rPr>
          <w:rStyle w:val="heading10"/>
          <w:color w:val="auto"/>
          <w:sz w:val="32"/>
          <w:szCs w:val="32"/>
        </w:rPr>
        <w:t>–</w:t>
      </w:r>
      <w:r>
        <w:rPr>
          <w:rStyle w:val="heading10"/>
          <w:color w:val="auto"/>
          <w:sz w:val="32"/>
          <w:szCs w:val="32"/>
        </w:rPr>
        <w:t xml:space="preserve"> </w:t>
      </w:r>
      <w:r w:rsidR="007719D7">
        <w:rPr>
          <w:rStyle w:val="heading10"/>
          <w:color w:val="auto"/>
          <w:sz w:val="32"/>
          <w:szCs w:val="32"/>
        </w:rPr>
        <w:t>Professional Liability</w:t>
      </w:r>
      <w:r w:rsidRPr="00292C0F">
        <w:rPr>
          <w:rStyle w:val="heading10"/>
          <w:color w:val="auto"/>
          <w:sz w:val="32"/>
          <w:szCs w:val="32"/>
        </w:rPr>
        <w:t xml:space="preserve">, </w:t>
      </w:r>
      <w:r w:rsidR="00F425DC" w:rsidRPr="00292C0F">
        <w:rPr>
          <w:rStyle w:val="heading10"/>
          <w:color w:val="auto"/>
          <w:sz w:val="32"/>
          <w:szCs w:val="32"/>
        </w:rPr>
        <w:t>Errors &amp; Omissions and Fidelity Coverage</w:t>
      </w:r>
      <w:r w:rsidR="00F425DC" w:rsidRPr="00292C0F">
        <w:rPr>
          <w:sz w:val="32"/>
          <w:szCs w:val="32"/>
        </w:rPr>
        <w:br/>
      </w:r>
      <w:r w:rsidRPr="00292C0F">
        <w:rPr>
          <w:color w:val="FF0000"/>
          <w:sz w:val="28"/>
          <w:szCs w:val="28"/>
          <w:highlight w:val="yellow"/>
        </w:rPr>
        <w:t>INSERT LAW FIRM NAME HERE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EF7D38" w:rsidTr="002229AA">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D38" w:rsidRDefault="00EF7D38" w:rsidP="00C62772">
            <w:pPr>
              <w:spacing w:after="0"/>
              <w:rPr>
                <w:rFonts w:eastAsia="Cambria"/>
                <w:b/>
              </w:rPr>
            </w:pPr>
            <w:r>
              <w:rPr>
                <w:b/>
              </w:rPr>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EF7D38" w:rsidRPr="00C44260" w:rsidRDefault="00EF7D38" w:rsidP="007719D7">
            <w:pPr>
              <w:spacing w:after="0"/>
              <w:rPr>
                <w:rFonts w:eastAsia="Cambria"/>
                <w:sz w:val="24"/>
                <w:szCs w:val="24"/>
              </w:rPr>
            </w:pPr>
            <w:r w:rsidRPr="00C44260">
              <w:rPr>
                <w:b/>
                <w:sz w:val="24"/>
                <w:szCs w:val="24"/>
              </w:rPr>
              <w:t xml:space="preserve">Best Practice Pillar #6 – </w:t>
            </w:r>
            <w:r w:rsidR="00292C0F">
              <w:rPr>
                <w:b/>
                <w:sz w:val="24"/>
                <w:szCs w:val="24"/>
              </w:rPr>
              <w:t xml:space="preserve">PROFESSIONAL LIABILITY INSURANCE AND FIDELITY COVERAGE </w:t>
            </w:r>
            <w:r w:rsidR="007719D7">
              <w:rPr>
                <w:b/>
                <w:sz w:val="24"/>
                <w:szCs w:val="24"/>
              </w:rPr>
              <w:t>–</w:t>
            </w:r>
            <w:r w:rsidR="00292C0F">
              <w:rPr>
                <w:b/>
                <w:sz w:val="24"/>
                <w:szCs w:val="24"/>
              </w:rPr>
              <w:t xml:space="preserve"> </w:t>
            </w:r>
            <w:r w:rsidR="007719D7">
              <w:rPr>
                <w:b/>
                <w:sz w:val="24"/>
                <w:szCs w:val="24"/>
              </w:rPr>
              <w:t>Maintain appropriate professional liability insurance, errors &amp; omissions and fidelity coverage.</w:t>
            </w:r>
          </w:p>
        </w:tc>
      </w:tr>
      <w:tr w:rsidR="00EF7D38" w:rsidTr="002229AA">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D38" w:rsidRDefault="00EF7D38" w:rsidP="00C62772">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EF7D38" w:rsidRDefault="000F6EE2" w:rsidP="00C62772">
            <w:pPr>
              <w:spacing w:after="0"/>
            </w:pPr>
            <w:r>
              <w:t>Professional Liability Insurance and Fidelity Coverage</w:t>
            </w:r>
          </w:p>
          <w:p w:rsidR="002B1595" w:rsidRPr="006966E3" w:rsidRDefault="002B1595" w:rsidP="00C62772">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EF7D38" w:rsidTr="002229AA">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D38" w:rsidRDefault="00EF7D38" w:rsidP="00C62772">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C60735" w:rsidRDefault="000F6EE2" w:rsidP="000F6EE2">
            <w:pPr>
              <w:spacing w:after="0"/>
              <w:rPr>
                <w:b/>
              </w:rPr>
            </w:pPr>
            <w:bookmarkStart w:id="0" w:name="_GoBack"/>
            <w:r w:rsidRPr="00C60735">
              <w:rPr>
                <w:b/>
              </w:rPr>
              <w:t xml:space="preserve">6.01 </w:t>
            </w:r>
            <w:r w:rsidRPr="00C60735">
              <w:rPr>
                <w:b/>
              </w:rPr>
              <w:tab/>
              <w:t>Professional Liability Insurance and Fidelity Bond Coverage</w:t>
            </w:r>
            <w:bookmarkEnd w:id="0"/>
          </w:p>
        </w:tc>
      </w:tr>
      <w:tr w:rsidR="00EF7D38" w:rsidTr="002229AA">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D38" w:rsidRDefault="00EF7D38" w:rsidP="00C62772">
            <w:pPr>
              <w:spacing w:after="0"/>
              <w:rPr>
                <w:rFonts w:eastAsia="Cambria"/>
                <w:b/>
              </w:rPr>
            </w:pPr>
          </w:p>
        </w:tc>
        <w:tc>
          <w:tcPr>
            <w:tcW w:w="8625" w:type="dxa"/>
            <w:gridSpan w:val="2"/>
            <w:tcBorders>
              <w:top w:val="single" w:sz="4" w:space="0" w:color="auto"/>
              <w:left w:val="single" w:sz="4" w:space="0" w:color="auto"/>
              <w:bottom w:val="single" w:sz="4" w:space="0" w:color="auto"/>
              <w:right w:val="single" w:sz="4" w:space="0" w:color="auto"/>
            </w:tcBorders>
          </w:tcPr>
          <w:p w:rsidR="00EF7D38" w:rsidRDefault="000F6EE2" w:rsidP="00C62772">
            <w:pPr>
              <w:spacing w:after="0"/>
              <w:rPr>
                <w:rFonts w:eastAsia="Cambria"/>
              </w:rPr>
            </w:pPr>
            <w:r>
              <w:rPr>
                <w:rFonts w:eastAsia="Cambria"/>
              </w:rPr>
              <w:t xml:space="preserve">The </w:t>
            </w:r>
            <w:r w:rsidR="00F07C48">
              <w:rPr>
                <w:rFonts w:eastAsia="Cambria"/>
              </w:rPr>
              <w:t>Practice Manager</w:t>
            </w:r>
          </w:p>
          <w:p w:rsidR="00F07C48" w:rsidRDefault="00F07C48" w:rsidP="00C62772">
            <w:pPr>
              <w:spacing w:after="0"/>
              <w:rPr>
                <w:rFonts w:eastAsia="Cambria"/>
              </w:rPr>
            </w:pPr>
            <w:r>
              <w:rPr>
                <w:rFonts w:eastAsia="Cambria"/>
              </w:rPr>
              <w:t>Insurer</w:t>
            </w:r>
            <w:r w:rsidR="00C60735">
              <w:rPr>
                <w:rFonts w:eastAsia="Cambria"/>
              </w:rPr>
              <w:t>(s)</w:t>
            </w:r>
          </w:p>
          <w:p w:rsidR="00F07C48" w:rsidRPr="000F6EE2" w:rsidRDefault="00785249" w:rsidP="00C62772">
            <w:pPr>
              <w:spacing w:after="0"/>
              <w:rPr>
                <w:rFonts w:eastAsia="Cambria"/>
                <w:color w:val="FF0000"/>
              </w:rPr>
            </w:pPr>
            <w:r w:rsidRPr="00785249">
              <w:rPr>
                <w:rFonts w:eastAsia="Cambria"/>
                <w:color w:val="FF0000"/>
              </w:rPr>
              <w:t>[Third Party Service Providers</w:t>
            </w:r>
            <w:r>
              <w:rPr>
                <w:rFonts w:eastAsia="Cambria"/>
                <w:color w:val="FF0000"/>
              </w:rPr>
              <w:t xml:space="preserve"> – Attach Addendum</w:t>
            </w:r>
            <w:r w:rsidRPr="00785249">
              <w:rPr>
                <w:rFonts w:eastAsia="Cambria"/>
                <w:color w:val="FF0000"/>
              </w:rPr>
              <w:t>]</w:t>
            </w:r>
          </w:p>
        </w:tc>
      </w:tr>
      <w:tr w:rsidR="00EF7D38" w:rsidTr="002229AA">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D38" w:rsidRDefault="00EF7D38" w:rsidP="00C62772">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EF7D38" w:rsidRDefault="002A1684" w:rsidP="00C62772">
            <w:pPr>
              <w:spacing w:after="0"/>
              <w:rPr>
                <w:rFonts w:eastAsia="Cambria"/>
              </w:rPr>
            </w:pPr>
            <w:r w:rsidRPr="00484401">
              <w:rPr>
                <w:rFonts w:eastAsia="Cambria" w:cstheme="minorHAnsi"/>
                <w:color w:val="FF0000"/>
                <w:sz w:val="20"/>
                <w:szCs w:val="20"/>
              </w:rPr>
              <w:t>Highlight this text, then type effective date here</w:t>
            </w:r>
          </w:p>
        </w:tc>
      </w:tr>
      <w:tr w:rsidR="00EF7D38" w:rsidTr="002229AA">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D38" w:rsidRDefault="00EF7D38" w:rsidP="00C62772">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2A1684" w:rsidRPr="00484401" w:rsidRDefault="002A1684" w:rsidP="002A1684">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F7D38" w:rsidRDefault="00EF7D38" w:rsidP="00C62772">
            <w:pPr>
              <w:spacing w:after="0"/>
              <w:rPr>
                <w:rFonts w:eastAsia="Cambria"/>
              </w:rPr>
            </w:pPr>
          </w:p>
        </w:tc>
      </w:tr>
      <w:tr w:rsidR="00EF7D38" w:rsidTr="002229AA">
        <w:trPr>
          <w:trHeight w:val="4339"/>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D38" w:rsidRDefault="00EF7D38" w:rsidP="00EF7D38">
            <w:pPr>
              <w:spacing w:after="0" w:line="240" w:lineRule="auto"/>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2A1684" w:rsidRPr="00484401" w:rsidRDefault="002A1684" w:rsidP="002A1684">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2A1684" w:rsidRDefault="002A1684" w:rsidP="00EF7D38">
            <w:pPr>
              <w:spacing w:after="0" w:line="240" w:lineRule="auto"/>
              <w:rPr>
                <w:rFonts w:cstheme="minorHAnsi"/>
                <w:b/>
                <w:sz w:val="20"/>
                <w:szCs w:val="20"/>
              </w:rPr>
            </w:pPr>
          </w:p>
          <w:p w:rsidR="00EF7D38" w:rsidRPr="00955A0C" w:rsidRDefault="00EF7D38" w:rsidP="00EF7D38">
            <w:pPr>
              <w:spacing w:after="0" w:line="240" w:lineRule="auto"/>
              <w:rPr>
                <w:rFonts w:cstheme="minorHAnsi"/>
                <w:b/>
                <w:sz w:val="20"/>
                <w:szCs w:val="20"/>
              </w:rPr>
            </w:pPr>
            <w:r w:rsidRPr="00955A0C">
              <w:rPr>
                <w:rFonts w:cstheme="minorHAnsi"/>
                <w:b/>
                <w:sz w:val="20"/>
                <w:szCs w:val="20"/>
              </w:rPr>
              <w:t xml:space="preserve">6.01 </w:t>
            </w:r>
            <w:r w:rsidRPr="00955A0C">
              <w:rPr>
                <w:rFonts w:cstheme="minorHAnsi"/>
                <w:b/>
                <w:sz w:val="20"/>
                <w:szCs w:val="20"/>
              </w:rPr>
              <w:tab/>
              <w:t>Professional Liability Insurance</w:t>
            </w:r>
            <w:r w:rsidR="000F6EE2">
              <w:rPr>
                <w:rFonts w:cstheme="minorHAnsi"/>
                <w:b/>
                <w:sz w:val="20"/>
                <w:szCs w:val="20"/>
              </w:rPr>
              <w:t xml:space="preserve"> and Fidelity Coverage</w:t>
            </w:r>
          </w:p>
          <w:p w:rsidR="00F07C48" w:rsidRDefault="00EF7D38" w:rsidP="00EF7D38">
            <w:pPr>
              <w:spacing w:after="0" w:line="240" w:lineRule="auto"/>
              <w:ind w:left="18"/>
              <w:rPr>
                <w:rFonts w:cstheme="minorHAnsi"/>
                <w:sz w:val="20"/>
                <w:szCs w:val="20"/>
                <w:lang w:eastAsia="en-GB"/>
              </w:rPr>
            </w:pPr>
            <w:r w:rsidRPr="00955A0C">
              <w:rPr>
                <w:rFonts w:cstheme="minorHAnsi"/>
                <w:sz w:val="20"/>
                <w:szCs w:val="20"/>
                <w:lang w:eastAsia="en-GB"/>
              </w:rPr>
              <w:t>The Firm maintains professional liability insurance in the amount of no less than $___________________. This amount is appropriate given the company’s size and complexity and the nature and scope of its operations</w:t>
            </w:r>
            <w:r>
              <w:rPr>
                <w:rFonts w:cstheme="minorHAnsi"/>
                <w:sz w:val="20"/>
                <w:szCs w:val="20"/>
                <w:lang w:eastAsia="en-GB"/>
              </w:rPr>
              <w:t>.</w:t>
            </w:r>
            <w:r w:rsidR="00F07C48">
              <w:rPr>
                <w:rFonts w:cstheme="minorHAnsi"/>
                <w:sz w:val="20"/>
                <w:szCs w:val="20"/>
                <w:lang w:eastAsia="en-GB"/>
              </w:rPr>
              <w:t xml:space="preserve">  </w:t>
            </w:r>
          </w:p>
          <w:p w:rsidR="000F6EE2" w:rsidRDefault="000F6EE2" w:rsidP="00EF7D38">
            <w:pPr>
              <w:spacing w:after="0" w:line="240" w:lineRule="auto"/>
              <w:ind w:left="18"/>
              <w:rPr>
                <w:rFonts w:cstheme="minorHAnsi"/>
                <w:sz w:val="20"/>
                <w:szCs w:val="20"/>
                <w:lang w:eastAsia="en-GB"/>
              </w:rPr>
            </w:pPr>
          </w:p>
          <w:p w:rsidR="00F07C48" w:rsidRDefault="00EF7D38" w:rsidP="00F07C48">
            <w:pPr>
              <w:spacing w:after="0" w:line="240" w:lineRule="auto"/>
              <w:ind w:left="18"/>
              <w:rPr>
                <w:rFonts w:cstheme="minorHAnsi"/>
                <w:sz w:val="20"/>
                <w:szCs w:val="20"/>
                <w:lang w:eastAsia="en-GB"/>
              </w:rPr>
            </w:pPr>
            <w:r>
              <w:rPr>
                <w:rFonts w:cstheme="minorHAnsi"/>
                <w:sz w:val="20"/>
                <w:szCs w:val="20"/>
                <w:lang w:eastAsia="en-GB"/>
              </w:rPr>
              <w:t>The Practice Manager maintains a list of all attorneys and personnel, the applicable coverage related to each employee and any issues which must be reported to the carrier.</w:t>
            </w:r>
            <w:r w:rsidR="00F07C48">
              <w:rPr>
                <w:rFonts w:cstheme="minorHAnsi"/>
                <w:sz w:val="20"/>
                <w:szCs w:val="20"/>
                <w:lang w:eastAsia="en-GB"/>
              </w:rPr>
              <w:t xml:space="preserve"> [See Best Practice #1 list of attorneys and verification of malpractice insurance coverage.]</w:t>
            </w:r>
          </w:p>
          <w:p w:rsidR="00EF7D38" w:rsidRDefault="00EF7D38" w:rsidP="00EF7D38">
            <w:pPr>
              <w:spacing w:after="0" w:line="240" w:lineRule="auto"/>
              <w:ind w:left="18"/>
              <w:rPr>
                <w:rFonts w:cstheme="minorHAnsi"/>
                <w:sz w:val="20"/>
                <w:szCs w:val="20"/>
                <w:lang w:eastAsia="en-GB"/>
              </w:rPr>
            </w:pPr>
          </w:p>
          <w:p w:rsidR="00EF7D38" w:rsidRDefault="00EF7D38" w:rsidP="00EF7D38">
            <w:pPr>
              <w:spacing w:after="0" w:line="240" w:lineRule="auto"/>
              <w:ind w:left="18"/>
              <w:rPr>
                <w:rFonts w:cstheme="minorHAnsi"/>
                <w:sz w:val="20"/>
                <w:szCs w:val="20"/>
                <w:lang w:eastAsia="en-GB"/>
              </w:rPr>
            </w:pPr>
            <w:r>
              <w:rPr>
                <w:rFonts w:cstheme="minorHAnsi"/>
                <w:sz w:val="20"/>
                <w:szCs w:val="20"/>
                <w:lang w:eastAsia="en-GB"/>
              </w:rPr>
              <w:t>The Practice Manager reports, as required by the respective policies, any matters required to be reported by the terms of the policies.</w:t>
            </w:r>
          </w:p>
          <w:p w:rsidR="000F6EE2" w:rsidRPr="00955A0C" w:rsidRDefault="000F6EE2" w:rsidP="00EF7D38">
            <w:pPr>
              <w:spacing w:after="0" w:line="240" w:lineRule="auto"/>
              <w:ind w:left="18"/>
              <w:rPr>
                <w:rFonts w:cstheme="minorHAnsi"/>
                <w:sz w:val="20"/>
                <w:szCs w:val="20"/>
              </w:rPr>
            </w:pPr>
          </w:p>
          <w:p w:rsidR="00EF7D38" w:rsidRPr="00955A0C" w:rsidRDefault="00EF7D38" w:rsidP="00EF7D38">
            <w:pPr>
              <w:autoSpaceDE w:val="0"/>
              <w:autoSpaceDN w:val="0"/>
              <w:adjustRightInd w:val="0"/>
              <w:spacing w:after="0" w:line="240" w:lineRule="auto"/>
              <w:ind w:left="18"/>
              <w:rPr>
                <w:rFonts w:cstheme="minorHAnsi"/>
                <w:sz w:val="20"/>
                <w:szCs w:val="20"/>
                <w:lang w:eastAsia="en-GB"/>
              </w:rPr>
            </w:pPr>
            <w:r w:rsidRPr="00955A0C">
              <w:rPr>
                <w:rFonts w:cstheme="minorHAnsi"/>
                <w:sz w:val="20"/>
                <w:szCs w:val="20"/>
                <w:lang w:eastAsia="en-GB"/>
              </w:rPr>
              <w:t>Coverage’s / Endorsements are reviewed annually and are added or subtracted to reflect current changes in the practices of the industry and to reflect new threats to the Firm’s business as they arise, such as cybercrime.</w:t>
            </w:r>
          </w:p>
          <w:p w:rsidR="00EF7D38" w:rsidRDefault="00EF7D38" w:rsidP="00EF7D38">
            <w:pPr>
              <w:spacing w:after="0" w:line="240" w:lineRule="auto"/>
              <w:ind w:left="18"/>
              <w:rPr>
                <w:rFonts w:cstheme="minorHAnsi"/>
                <w:sz w:val="20"/>
                <w:szCs w:val="20"/>
              </w:rPr>
            </w:pPr>
          </w:p>
          <w:p w:rsidR="00C60735" w:rsidRPr="00EF7D38" w:rsidRDefault="00C60735" w:rsidP="00C60735">
            <w:pPr>
              <w:spacing w:after="0" w:line="240" w:lineRule="auto"/>
              <w:ind w:left="18"/>
              <w:rPr>
                <w:rFonts w:cstheme="minorHAnsi"/>
                <w:lang w:eastAsia="en-GB"/>
              </w:rPr>
            </w:pPr>
            <w:r>
              <w:rPr>
                <w:rFonts w:cstheme="minorHAnsi"/>
                <w:lang w:eastAsia="en-GB"/>
              </w:rPr>
              <w:t>The Practice Manager and the Firm annually (or more frequently if needed) review coverages to determine if amounts and coverages are appropriate for the practice.</w:t>
            </w:r>
          </w:p>
        </w:tc>
      </w:tr>
      <w:tr w:rsidR="002229AA" w:rsidRPr="00564FAE" w:rsidTr="002229AA">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229AA" w:rsidRPr="00E31020" w:rsidRDefault="002229AA" w:rsidP="000401E5">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229AA" w:rsidRPr="00484401" w:rsidRDefault="002229AA" w:rsidP="000401E5">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229AA" w:rsidRPr="00484401" w:rsidRDefault="002229AA" w:rsidP="000401E5">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BD0FFD" w:rsidRDefault="00BD0FFD" w:rsidP="00EF7D38">
      <w:pPr>
        <w:spacing w:after="0" w:line="240" w:lineRule="auto"/>
        <w:rPr>
          <w:rStyle w:val="subheading1"/>
          <w:color w:val="auto"/>
        </w:rPr>
      </w:pPr>
    </w:p>
    <w:p w:rsidR="00C60735" w:rsidRDefault="00C60735">
      <w:pPr>
        <w:rPr>
          <w:rStyle w:val="subheading1"/>
          <w:color w:val="auto"/>
        </w:rPr>
      </w:pPr>
      <w:r>
        <w:rPr>
          <w:rStyle w:val="subheading1"/>
          <w:color w:val="auto"/>
        </w:rP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lastRenderedPageBreak/>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C44260" w:rsidRDefault="00C60735" w:rsidP="00094D63">
            <w:pPr>
              <w:spacing w:after="0"/>
              <w:rPr>
                <w:rFonts w:eastAsia="Cambria"/>
                <w:sz w:val="24"/>
                <w:szCs w:val="24"/>
              </w:rPr>
            </w:pPr>
            <w:r w:rsidRPr="00C44260">
              <w:rPr>
                <w:b/>
                <w:sz w:val="24"/>
                <w:szCs w:val="24"/>
              </w:rPr>
              <w:t xml:space="preserve">Best Practice Pillar #6 – </w:t>
            </w:r>
            <w:r>
              <w:rPr>
                <w:b/>
                <w:sz w:val="24"/>
                <w:szCs w:val="24"/>
              </w:rPr>
              <w:t>PROFESSIONAL LIABILITY INSURANCE AND FIDELITY COVERAGE – Maintain appropriate professional liability insurance, errors &amp; omissions and fidelity coverage.</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pPr>
            <w:r>
              <w:t>Professional Liability Insurance and Fidelity Coverage</w:t>
            </w:r>
          </w:p>
          <w:p w:rsidR="00C60735" w:rsidRPr="006966E3" w:rsidRDefault="00C60735" w:rsidP="00094D63">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C60735" w:rsidRDefault="00C60735" w:rsidP="00094D63">
            <w:pPr>
              <w:spacing w:after="0"/>
              <w:rPr>
                <w:b/>
              </w:rPr>
            </w:pPr>
            <w:r w:rsidRPr="00C60735">
              <w:rPr>
                <w:b/>
              </w:rPr>
              <w:t>6.02      Errors &amp; Omissions C</w:t>
            </w:r>
            <w:r w:rsidRPr="00C60735">
              <w:rPr>
                <w:b/>
              </w:rPr>
              <w:t>overage for Non-attorney Errors</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rPr>
                <w:rFonts w:eastAsia="Cambria"/>
              </w:rPr>
            </w:pPr>
            <w:r>
              <w:rPr>
                <w:rFonts w:eastAsia="Cambria"/>
              </w:rPr>
              <w:t>The Practice Manager</w:t>
            </w:r>
          </w:p>
          <w:p w:rsidR="00C60735" w:rsidRDefault="00C60735" w:rsidP="00094D63">
            <w:pPr>
              <w:spacing w:after="0"/>
              <w:rPr>
                <w:rFonts w:eastAsia="Cambria"/>
              </w:rPr>
            </w:pPr>
            <w:r>
              <w:rPr>
                <w:rFonts w:eastAsia="Cambria"/>
              </w:rPr>
              <w:t>Insurer(s)</w:t>
            </w:r>
          </w:p>
          <w:p w:rsidR="00C60735" w:rsidRPr="000F6EE2" w:rsidRDefault="00C60735" w:rsidP="00094D63">
            <w:pPr>
              <w:spacing w:after="0"/>
              <w:rPr>
                <w:rFonts w:eastAsia="Cambria"/>
                <w:color w:val="FF0000"/>
              </w:rPr>
            </w:pPr>
            <w:r w:rsidRPr="00785249">
              <w:rPr>
                <w:rFonts w:eastAsia="Cambria"/>
                <w:color w:val="FF0000"/>
              </w:rPr>
              <w:t>[Third Party Service Providers</w:t>
            </w:r>
            <w:r>
              <w:rPr>
                <w:rFonts w:eastAsia="Cambria"/>
                <w:color w:val="FF0000"/>
              </w:rPr>
              <w:t xml:space="preserve"> – Attach Addendum</w:t>
            </w:r>
            <w:r w:rsidRPr="00785249">
              <w:rPr>
                <w:rFonts w:eastAsia="Cambria"/>
                <w:color w:val="FF0000"/>
              </w:rPr>
              <w:t>]</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rPr>
                <w:rFonts w:eastAsia="Cambria"/>
              </w:rPr>
            </w:pPr>
            <w:r w:rsidRPr="00484401">
              <w:rPr>
                <w:rFonts w:eastAsia="Cambria" w:cstheme="minorHAnsi"/>
                <w:color w:val="FF0000"/>
                <w:sz w:val="20"/>
                <w:szCs w:val="20"/>
              </w:rPr>
              <w:t>Highlight this text, then type effective date here</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C60735" w:rsidRDefault="00C60735" w:rsidP="00094D63">
            <w:pPr>
              <w:spacing w:after="0"/>
              <w:rPr>
                <w:rFonts w:eastAsia="Cambria"/>
              </w:rPr>
            </w:pPr>
          </w:p>
        </w:tc>
      </w:tr>
      <w:tr w:rsidR="00C60735" w:rsidTr="00094D63">
        <w:trPr>
          <w:trHeight w:val="4339"/>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line="240" w:lineRule="auto"/>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C60735" w:rsidRDefault="00C60735" w:rsidP="00094D63">
            <w:pPr>
              <w:spacing w:after="0" w:line="240" w:lineRule="auto"/>
              <w:rPr>
                <w:rFonts w:cstheme="minorHAnsi"/>
                <w:b/>
                <w:sz w:val="20"/>
                <w:szCs w:val="20"/>
              </w:rPr>
            </w:pPr>
          </w:p>
          <w:p w:rsidR="00C60735" w:rsidRPr="00C60735" w:rsidRDefault="00C60735" w:rsidP="00094D63">
            <w:pPr>
              <w:spacing w:after="0"/>
              <w:rPr>
                <w:b/>
              </w:rPr>
            </w:pPr>
            <w:r w:rsidRPr="00C60735">
              <w:rPr>
                <w:b/>
              </w:rPr>
              <w:t>6.02      Errors &amp; Omissions Coverage for Non-attorney Errors</w:t>
            </w:r>
          </w:p>
          <w:p w:rsidR="00C60735" w:rsidRDefault="00C60735" w:rsidP="00094D63">
            <w:pPr>
              <w:spacing w:after="0" w:line="240" w:lineRule="auto"/>
              <w:ind w:left="18"/>
              <w:rPr>
                <w:rFonts w:cstheme="minorHAnsi"/>
                <w:sz w:val="20"/>
                <w:szCs w:val="20"/>
              </w:rPr>
            </w:pPr>
            <w:r w:rsidRPr="00955A0C">
              <w:rPr>
                <w:rFonts w:cstheme="minorHAnsi"/>
                <w:sz w:val="20"/>
                <w:szCs w:val="20"/>
              </w:rPr>
              <w:t>If the Firm relies upon independent searchers, the Firm verifies they obtain a policy covering searching errors</w:t>
            </w:r>
            <w:r>
              <w:rPr>
                <w:rFonts w:cstheme="minorHAnsi"/>
                <w:sz w:val="20"/>
                <w:szCs w:val="20"/>
              </w:rPr>
              <w:t>.</w:t>
            </w:r>
          </w:p>
          <w:p w:rsidR="00C60735" w:rsidRDefault="00C60735" w:rsidP="00094D63">
            <w:pPr>
              <w:spacing w:after="0" w:line="240" w:lineRule="auto"/>
              <w:ind w:left="18"/>
              <w:rPr>
                <w:rFonts w:cstheme="minorHAnsi"/>
                <w:sz w:val="20"/>
                <w:szCs w:val="20"/>
              </w:rPr>
            </w:pPr>
          </w:p>
          <w:p w:rsidR="00C60735" w:rsidRDefault="00C60735" w:rsidP="00094D63">
            <w:pPr>
              <w:spacing w:after="0" w:line="240" w:lineRule="auto"/>
              <w:ind w:left="18"/>
              <w:rPr>
                <w:rFonts w:cstheme="minorHAnsi"/>
                <w:sz w:val="20"/>
                <w:szCs w:val="20"/>
                <w:lang w:eastAsia="en-GB"/>
              </w:rPr>
            </w:pPr>
            <w:r>
              <w:rPr>
                <w:rFonts w:cstheme="minorHAnsi"/>
                <w:sz w:val="20"/>
                <w:szCs w:val="20"/>
                <w:lang w:eastAsia="en-GB"/>
              </w:rPr>
              <w:t>The Practice Manager reports, as required by the respective policies, any matters required to be reported by the terms of the policies.</w:t>
            </w:r>
          </w:p>
          <w:p w:rsidR="00C60735" w:rsidRPr="00955A0C" w:rsidRDefault="00C60735" w:rsidP="00094D63">
            <w:pPr>
              <w:spacing w:after="0" w:line="240" w:lineRule="auto"/>
              <w:ind w:left="18"/>
              <w:rPr>
                <w:rFonts w:cstheme="minorHAnsi"/>
                <w:sz w:val="20"/>
                <w:szCs w:val="20"/>
              </w:rPr>
            </w:pPr>
          </w:p>
          <w:p w:rsidR="00C60735" w:rsidRDefault="00C60735" w:rsidP="00094D63">
            <w:pPr>
              <w:spacing w:after="0" w:line="240" w:lineRule="auto"/>
              <w:ind w:left="18"/>
              <w:rPr>
                <w:rFonts w:cstheme="minorHAnsi"/>
                <w:lang w:eastAsia="en-GB"/>
              </w:rPr>
            </w:pPr>
            <w:r>
              <w:rPr>
                <w:rFonts w:cstheme="minorHAnsi"/>
                <w:lang w:eastAsia="en-GB"/>
              </w:rPr>
              <w:t>The Practice Manager and the Firm annually (or more frequently if needed) review coverages to determine if amounts and coverages are appropriate for the practice.</w:t>
            </w:r>
          </w:p>
          <w:p w:rsidR="00C60735" w:rsidRPr="00C60735" w:rsidRDefault="00C60735" w:rsidP="00C60735">
            <w:pPr>
              <w:autoSpaceDE w:val="0"/>
              <w:autoSpaceDN w:val="0"/>
              <w:adjustRightInd w:val="0"/>
              <w:spacing w:after="0"/>
              <w:rPr>
                <w:rFonts w:cstheme="minorHAnsi"/>
                <w:lang w:eastAsia="en-GB"/>
              </w:rPr>
            </w:pPr>
          </w:p>
        </w:tc>
      </w:tr>
      <w:tr w:rsidR="00C60735" w:rsidRPr="00564FAE" w:rsidTr="00094D63">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60735" w:rsidRPr="00E31020" w:rsidRDefault="00C60735" w:rsidP="00094D63">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60735" w:rsidRDefault="00C60735" w:rsidP="00EF7D38">
      <w:pPr>
        <w:spacing w:after="0" w:line="240" w:lineRule="auto"/>
        <w:rPr>
          <w:rStyle w:val="subheading1"/>
          <w:color w:val="auto"/>
        </w:rPr>
      </w:pPr>
    </w:p>
    <w:p w:rsidR="00C60735" w:rsidRDefault="00C60735">
      <w:pPr>
        <w:rPr>
          <w:rStyle w:val="subheading1"/>
          <w:color w:val="auto"/>
        </w:rPr>
      </w:pPr>
      <w:r>
        <w:rPr>
          <w:rStyle w:val="subheading1"/>
          <w:color w:val="auto"/>
        </w:rP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lastRenderedPageBreak/>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C44260" w:rsidRDefault="00C60735" w:rsidP="00094D63">
            <w:pPr>
              <w:spacing w:after="0"/>
              <w:rPr>
                <w:rFonts w:eastAsia="Cambria"/>
                <w:sz w:val="24"/>
                <w:szCs w:val="24"/>
              </w:rPr>
            </w:pPr>
            <w:r w:rsidRPr="00C44260">
              <w:rPr>
                <w:b/>
                <w:sz w:val="24"/>
                <w:szCs w:val="24"/>
              </w:rPr>
              <w:t xml:space="preserve">Best Practice Pillar #6 – </w:t>
            </w:r>
            <w:r>
              <w:rPr>
                <w:b/>
                <w:sz w:val="24"/>
                <w:szCs w:val="24"/>
              </w:rPr>
              <w:t>PROFESSIONAL LIABILITY INSURANCE AND FIDELITY COVERAGE – Maintain appropriate professional liability insurance, errors &amp; omissions and fidelity coverage.</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pPr>
            <w:r>
              <w:t>Professional Liability Insurance and Fidelity Coverage</w:t>
            </w:r>
          </w:p>
          <w:p w:rsidR="00C60735" w:rsidRPr="006966E3" w:rsidRDefault="00C60735" w:rsidP="00094D63">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C60735" w:rsidRDefault="00C60735" w:rsidP="00094D63">
            <w:pPr>
              <w:spacing w:after="0"/>
              <w:rPr>
                <w:b/>
              </w:rPr>
            </w:pPr>
            <w:r w:rsidRPr="00C60735">
              <w:rPr>
                <w:b/>
              </w:rPr>
              <w:t>6.03      Fidelity Bond Coverage</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rPr>
                <w:rFonts w:eastAsia="Cambria"/>
              </w:rPr>
            </w:pPr>
            <w:r>
              <w:rPr>
                <w:rFonts w:eastAsia="Cambria"/>
              </w:rPr>
              <w:t>The Practice Manager</w:t>
            </w:r>
          </w:p>
          <w:p w:rsidR="00C60735" w:rsidRDefault="00C60735" w:rsidP="00094D63">
            <w:pPr>
              <w:spacing w:after="0"/>
              <w:rPr>
                <w:rFonts w:eastAsia="Cambria"/>
              </w:rPr>
            </w:pPr>
            <w:r>
              <w:rPr>
                <w:rFonts w:eastAsia="Cambria"/>
              </w:rPr>
              <w:t>Insurer(s)</w:t>
            </w:r>
          </w:p>
          <w:p w:rsidR="00C60735" w:rsidRPr="000F6EE2" w:rsidRDefault="00C60735" w:rsidP="00094D63">
            <w:pPr>
              <w:spacing w:after="0"/>
              <w:rPr>
                <w:rFonts w:eastAsia="Cambria"/>
                <w:color w:val="FF0000"/>
              </w:rPr>
            </w:pPr>
            <w:r w:rsidRPr="00785249">
              <w:rPr>
                <w:rFonts w:eastAsia="Cambria"/>
                <w:color w:val="FF0000"/>
              </w:rPr>
              <w:t>[Third Party Service Providers</w:t>
            </w:r>
            <w:r>
              <w:rPr>
                <w:rFonts w:eastAsia="Cambria"/>
                <w:color w:val="FF0000"/>
              </w:rPr>
              <w:t xml:space="preserve"> – Attach Addendum</w:t>
            </w:r>
            <w:r w:rsidRPr="00785249">
              <w:rPr>
                <w:rFonts w:eastAsia="Cambria"/>
                <w:color w:val="FF0000"/>
              </w:rPr>
              <w:t>]</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rPr>
                <w:rFonts w:eastAsia="Cambria"/>
              </w:rPr>
            </w:pPr>
            <w:r w:rsidRPr="00484401">
              <w:rPr>
                <w:rFonts w:eastAsia="Cambria" w:cstheme="minorHAnsi"/>
                <w:color w:val="FF0000"/>
                <w:sz w:val="20"/>
                <w:szCs w:val="20"/>
              </w:rPr>
              <w:t>Highlight this text, then type effective date here</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C60735" w:rsidRDefault="00C60735" w:rsidP="00094D63">
            <w:pPr>
              <w:spacing w:after="0"/>
              <w:rPr>
                <w:rFonts w:eastAsia="Cambria"/>
              </w:rPr>
            </w:pPr>
          </w:p>
        </w:tc>
      </w:tr>
      <w:tr w:rsidR="00C60735" w:rsidTr="00094D63">
        <w:trPr>
          <w:trHeight w:val="4339"/>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line="240" w:lineRule="auto"/>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C60735" w:rsidRDefault="00C60735" w:rsidP="00094D63">
            <w:pPr>
              <w:spacing w:after="0" w:line="240" w:lineRule="auto"/>
              <w:rPr>
                <w:rFonts w:cstheme="minorHAnsi"/>
                <w:b/>
                <w:sz w:val="20"/>
                <w:szCs w:val="20"/>
              </w:rPr>
            </w:pPr>
          </w:p>
          <w:p w:rsidR="00C60735" w:rsidRPr="00C60735" w:rsidRDefault="00C60735" w:rsidP="00094D63">
            <w:pPr>
              <w:spacing w:after="0" w:line="240" w:lineRule="auto"/>
              <w:ind w:left="18"/>
              <w:rPr>
                <w:rFonts w:cstheme="minorHAnsi"/>
                <w:b/>
                <w:sz w:val="20"/>
                <w:szCs w:val="20"/>
              </w:rPr>
            </w:pPr>
            <w:r w:rsidRPr="00C60735">
              <w:rPr>
                <w:b/>
              </w:rPr>
              <w:t>6.03      Fidelity Bond Coverage</w:t>
            </w:r>
          </w:p>
          <w:p w:rsidR="00C60735" w:rsidRDefault="00C60735" w:rsidP="00094D63">
            <w:pPr>
              <w:pStyle w:val="ListParagraph"/>
              <w:autoSpaceDE w:val="0"/>
              <w:autoSpaceDN w:val="0"/>
              <w:adjustRightInd w:val="0"/>
              <w:spacing w:before="0" w:after="0"/>
              <w:ind w:left="18"/>
              <w:rPr>
                <w:rFonts w:asciiTheme="minorHAnsi" w:hAnsiTheme="minorHAnsi" w:cstheme="minorHAnsi"/>
                <w:lang w:eastAsia="en-GB"/>
              </w:rPr>
            </w:pPr>
            <w:r w:rsidRPr="00955A0C">
              <w:rPr>
                <w:rFonts w:asciiTheme="minorHAnsi" w:hAnsiTheme="minorHAnsi" w:cstheme="minorHAnsi"/>
                <w:lang w:eastAsia="en-GB"/>
              </w:rPr>
              <w:t>The</w:t>
            </w:r>
            <w:r>
              <w:rPr>
                <w:rFonts w:asciiTheme="minorHAnsi" w:hAnsiTheme="minorHAnsi" w:cstheme="minorHAnsi"/>
                <w:lang w:eastAsia="en-GB"/>
              </w:rPr>
              <w:t xml:space="preserve"> Firm</w:t>
            </w:r>
            <w:r w:rsidRPr="00955A0C">
              <w:rPr>
                <w:rFonts w:asciiTheme="minorHAnsi" w:hAnsiTheme="minorHAnsi" w:cstheme="minorHAnsi"/>
                <w:lang w:eastAsia="en-GB"/>
              </w:rPr>
              <w:t xml:space="preserve"> maintains a fidelity bond policy in an amount of not less than $___________________.  </w:t>
            </w:r>
          </w:p>
          <w:p w:rsidR="00C60735" w:rsidRDefault="00C60735" w:rsidP="00094D63">
            <w:pPr>
              <w:pStyle w:val="ListParagraph"/>
              <w:autoSpaceDE w:val="0"/>
              <w:autoSpaceDN w:val="0"/>
              <w:adjustRightInd w:val="0"/>
              <w:spacing w:before="0" w:after="0"/>
              <w:ind w:left="18"/>
              <w:rPr>
                <w:rFonts w:asciiTheme="minorHAnsi" w:hAnsiTheme="minorHAnsi" w:cstheme="minorHAnsi"/>
                <w:lang w:eastAsia="en-GB"/>
              </w:rPr>
            </w:pPr>
          </w:p>
          <w:p w:rsidR="00C60735" w:rsidRDefault="00C60735" w:rsidP="00094D63">
            <w:pPr>
              <w:pStyle w:val="ListParagraph"/>
              <w:autoSpaceDE w:val="0"/>
              <w:autoSpaceDN w:val="0"/>
              <w:adjustRightInd w:val="0"/>
              <w:spacing w:before="0" w:after="0"/>
              <w:ind w:left="18"/>
              <w:rPr>
                <w:rFonts w:asciiTheme="minorHAnsi" w:hAnsiTheme="minorHAnsi" w:cstheme="minorHAnsi"/>
                <w:lang w:eastAsia="en-GB"/>
              </w:rPr>
            </w:pPr>
            <w:r>
              <w:rPr>
                <w:rFonts w:asciiTheme="minorHAnsi" w:hAnsiTheme="minorHAnsi" w:cstheme="minorHAnsi"/>
                <w:lang w:eastAsia="en-GB"/>
              </w:rPr>
              <w:t>The Practice Manager and the Firm annually (or more frequently if needed) review coverages to determine if amounts and coverages are appropriate for the practice.</w:t>
            </w:r>
          </w:p>
          <w:p w:rsidR="00C60735" w:rsidRDefault="00C60735" w:rsidP="00094D63">
            <w:pPr>
              <w:pStyle w:val="ListParagraph"/>
              <w:autoSpaceDE w:val="0"/>
              <w:autoSpaceDN w:val="0"/>
              <w:adjustRightInd w:val="0"/>
              <w:spacing w:before="0" w:after="0"/>
              <w:ind w:left="18"/>
              <w:rPr>
                <w:rFonts w:asciiTheme="minorHAnsi" w:hAnsiTheme="minorHAnsi" w:cstheme="minorHAnsi"/>
                <w:lang w:eastAsia="en-GB"/>
              </w:rPr>
            </w:pPr>
          </w:p>
          <w:p w:rsidR="00C60735" w:rsidRDefault="00C60735" w:rsidP="00094D63">
            <w:pPr>
              <w:spacing w:after="0" w:line="240" w:lineRule="auto"/>
              <w:ind w:left="18"/>
              <w:rPr>
                <w:rFonts w:cstheme="minorHAnsi"/>
                <w:sz w:val="20"/>
                <w:szCs w:val="20"/>
                <w:lang w:eastAsia="en-GB"/>
              </w:rPr>
            </w:pPr>
            <w:r>
              <w:rPr>
                <w:rFonts w:cstheme="minorHAnsi"/>
                <w:sz w:val="20"/>
                <w:szCs w:val="20"/>
                <w:lang w:eastAsia="en-GB"/>
              </w:rPr>
              <w:t>The Practice Manager reports, as required by the respective policies, any matters required to be reported by the terms of the policies.</w:t>
            </w:r>
          </w:p>
          <w:p w:rsidR="00C60735" w:rsidRPr="00C60735" w:rsidRDefault="00C60735" w:rsidP="00C60735">
            <w:pPr>
              <w:autoSpaceDE w:val="0"/>
              <w:autoSpaceDN w:val="0"/>
              <w:adjustRightInd w:val="0"/>
              <w:spacing w:after="0"/>
              <w:rPr>
                <w:rFonts w:cstheme="minorHAnsi"/>
                <w:lang w:eastAsia="en-GB"/>
              </w:rPr>
            </w:pPr>
          </w:p>
        </w:tc>
      </w:tr>
      <w:tr w:rsidR="00C60735" w:rsidRPr="00564FAE" w:rsidTr="00094D63">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60735" w:rsidRPr="00E31020" w:rsidRDefault="00C60735" w:rsidP="00094D63">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60735" w:rsidRDefault="00C60735" w:rsidP="00EF7D38">
      <w:pPr>
        <w:spacing w:after="0" w:line="240" w:lineRule="auto"/>
        <w:rPr>
          <w:rStyle w:val="subheading1"/>
          <w:color w:val="auto"/>
        </w:rPr>
      </w:pPr>
    </w:p>
    <w:p w:rsidR="00C60735" w:rsidRDefault="00C60735" w:rsidP="00EF7D38">
      <w:pPr>
        <w:spacing w:after="0" w:line="240" w:lineRule="auto"/>
        <w:rPr>
          <w:rStyle w:val="subheading1"/>
          <w:color w:val="auto"/>
        </w:rPr>
      </w:pPr>
    </w:p>
    <w:p w:rsidR="00C60735" w:rsidRDefault="00C60735">
      <w:pPr>
        <w:rPr>
          <w:rStyle w:val="subheading1"/>
          <w:color w:val="auto"/>
        </w:rPr>
      </w:pPr>
      <w:r>
        <w:rPr>
          <w:rStyle w:val="subheading1"/>
          <w:color w:val="auto"/>
        </w:rP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lastRenderedPageBreak/>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C44260" w:rsidRDefault="00C60735" w:rsidP="00094D63">
            <w:pPr>
              <w:spacing w:after="0"/>
              <w:rPr>
                <w:rFonts w:eastAsia="Cambria"/>
                <w:sz w:val="24"/>
                <w:szCs w:val="24"/>
              </w:rPr>
            </w:pPr>
            <w:r w:rsidRPr="00C44260">
              <w:rPr>
                <w:b/>
                <w:sz w:val="24"/>
                <w:szCs w:val="24"/>
              </w:rPr>
              <w:t xml:space="preserve">Best Practice Pillar #6 – </w:t>
            </w:r>
            <w:r>
              <w:rPr>
                <w:b/>
                <w:sz w:val="24"/>
                <w:szCs w:val="24"/>
              </w:rPr>
              <w:t>PROFESSIONAL LIABILITY INSURANCE AND FIDELITY COVERAGE – Maintain appropriate professional liability insurance, errors &amp; omissions and fidelity coverage.</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pPr>
            <w:r>
              <w:t>Professional Liability Insurance and Fidelity Coverage</w:t>
            </w:r>
          </w:p>
          <w:p w:rsidR="00C60735" w:rsidRPr="006966E3" w:rsidRDefault="00C60735" w:rsidP="00094D63">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C60735" w:rsidRDefault="00C60735" w:rsidP="00094D63">
            <w:pPr>
              <w:spacing w:after="0"/>
              <w:rPr>
                <w:b/>
              </w:rPr>
            </w:pPr>
            <w:r w:rsidRPr="00C60735">
              <w:rPr>
                <w:b/>
              </w:rPr>
              <w:t xml:space="preserve">6.04      </w:t>
            </w:r>
            <w:proofErr w:type="spellStart"/>
            <w:r w:rsidRPr="00C60735">
              <w:rPr>
                <w:b/>
              </w:rPr>
              <w:t>Cyberinsurance</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rPr>
                <w:rFonts w:eastAsia="Cambria"/>
              </w:rPr>
            </w:pPr>
            <w:r>
              <w:rPr>
                <w:rFonts w:eastAsia="Cambria"/>
              </w:rPr>
              <w:t>The Practice Manager</w:t>
            </w:r>
          </w:p>
          <w:p w:rsidR="00C60735" w:rsidRDefault="00C60735" w:rsidP="00094D63">
            <w:pPr>
              <w:spacing w:after="0"/>
              <w:rPr>
                <w:rFonts w:eastAsia="Cambria"/>
              </w:rPr>
            </w:pPr>
            <w:r>
              <w:rPr>
                <w:rFonts w:eastAsia="Cambria"/>
              </w:rPr>
              <w:t>Insurer(s)</w:t>
            </w:r>
          </w:p>
          <w:p w:rsidR="00C60735" w:rsidRPr="000F6EE2" w:rsidRDefault="00C60735" w:rsidP="00094D63">
            <w:pPr>
              <w:spacing w:after="0"/>
              <w:rPr>
                <w:rFonts w:eastAsia="Cambria"/>
                <w:color w:val="FF0000"/>
              </w:rPr>
            </w:pPr>
            <w:r w:rsidRPr="00785249">
              <w:rPr>
                <w:rFonts w:eastAsia="Cambria"/>
                <w:color w:val="FF0000"/>
              </w:rPr>
              <w:t>[Third Party Service Providers</w:t>
            </w:r>
            <w:r>
              <w:rPr>
                <w:rFonts w:eastAsia="Cambria"/>
                <w:color w:val="FF0000"/>
              </w:rPr>
              <w:t xml:space="preserve"> – Attach Addendum</w:t>
            </w:r>
            <w:r w:rsidRPr="00785249">
              <w:rPr>
                <w:rFonts w:eastAsia="Cambria"/>
                <w:color w:val="FF0000"/>
              </w:rPr>
              <w:t>]</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C60735" w:rsidRDefault="00C60735" w:rsidP="00094D63">
            <w:pPr>
              <w:spacing w:after="0"/>
              <w:rPr>
                <w:rFonts w:eastAsia="Cambria"/>
              </w:rPr>
            </w:pPr>
            <w:r w:rsidRPr="00484401">
              <w:rPr>
                <w:rFonts w:eastAsia="Cambria" w:cstheme="minorHAnsi"/>
                <w:color w:val="FF0000"/>
                <w:sz w:val="20"/>
                <w:szCs w:val="20"/>
              </w:rPr>
              <w:t>Highlight this text, then type effective date here</w:t>
            </w:r>
          </w:p>
        </w:tc>
      </w:tr>
      <w:tr w:rsidR="00C60735" w:rsidTr="00094D6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C60735" w:rsidRDefault="00C60735" w:rsidP="00094D63">
            <w:pPr>
              <w:spacing w:after="0"/>
              <w:rPr>
                <w:rFonts w:eastAsia="Cambria"/>
              </w:rPr>
            </w:pPr>
          </w:p>
        </w:tc>
      </w:tr>
      <w:tr w:rsidR="00C60735" w:rsidTr="00094D63">
        <w:trPr>
          <w:trHeight w:val="4339"/>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0735" w:rsidRDefault="00C60735" w:rsidP="00094D63">
            <w:pPr>
              <w:spacing w:after="0" w:line="240" w:lineRule="auto"/>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C60735" w:rsidRDefault="00C60735" w:rsidP="00094D63">
            <w:pPr>
              <w:spacing w:after="0" w:line="240" w:lineRule="auto"/>
              <w:rPr>
                <w:rFonts w:cstheme="minorHAnsi"/>
                <w:b/>
                <w:sz w:val="20"/>
                <w:szCs w:val="20"/>
              </w:rPr>
            </w:pPr>
          </w:p>
          <w:p w:rsidR="00C60735" w:rsidRPr="00C60735" w:rsidRDefault="00C60735" w:rsidP="00094D63">
            <w:pPr>
              <w:pStyle w:val="ListParagraph"/>
              <w:autoSpaceDE w:val="0"/>
              <w:autoSpaceDN w:val="0"/>
              <w:adjustRightInd w:val="0"/>
              <w:spacing w:before="0" w:after="0"/>
              <w:ind w:left="18"/>
              <w:rPr>
                <w:rFonts w:asciiTheme="minorHAnsi" w:hAnsiTheme="minorHAnsi" w:cstheme="minorHAnsi"/>
                <w:b/>
                <w:lang w:eastAsia="en-GB"/>
              </w:rPr>
            </w:pPr>
            <w:r w:rsidRPr="00C60735">
              <w:rPr>
                <w:rFonts w:asciiTheme="minorHAnsi" w:hAnsiTheme="minorHAnsi" w:cstheme="minorHAnsi"/>
                <w:b/>
                <w:lang w:eastAsia="en-GB"/>
              </w:rPr>
              <w:t>6.04      Cybercrime Insurance</w:t>
            </w:r>
          </w:p>
          <w:p w:rsidR="00C60735" w:rsidRDefault="00C60735" w:rsidP="00094D63">
            <w:pPr>
              <w:pStyle w:val="ListParagraph"/>
              <w:autoSpaceDE w:val="0"/>
              <w:autoSpaceDN w:val="0"/>
              <w:adjustRightInd w:val="0"/>
              <w:spacing w:before="0" w:after="0"/>
              <w:ind w:left="18"/>
              <w:rPr>
                <w:rFonts w:asciiTheme="minorHAnsi" w:hAnsiTheme="minorHAnsi" w:cstheme="minorHAnsi"/>
                <w:lang w:eastAsia="en-GB"/>
              </w:rPr>
            </w:pPr>
            <w:r>
              <w:rPr>
                <w:rFonts w:asciiTheme="minorHAnsi" w:hAnsiTheme="minorHAnsi" w:cstheme="minorHAnsi"/>
                <w:lang w:eastAsia="en-GB"/>
              </w:rPr>
              <w:t>The Firm maintains cybercrime insurance in an amount of not less than $___________________.</w:t>
            </w:r>
          </w:p>
          <w:p w:rsidR="00C60735" w:rsidRDefault="00C60735" w:rsidP="00094D63">
            <w:pPr>
              <w:pStyle w:val="ListParagraph"/>
              <w:autoSpaceDE w:val="0"/>
              <w:autoSpaceDN w:val="0"/>
              <w:adjustRightInd w:val="0"/>
              <w:spacing w:before="0" w:after="0"/>
              <w:ind w:left="18"/>
              <w:rPr>
                <w:rFonts w:asciiTheme="minorHAnsi" w:hAnsiTheme="minorHAnsi" w:cstheme="minorHAnsi"/>
                <w:lang w:eastAsia="en-GB"/>
              </w:rPr>
            </w:pPr>
          </w:p>
          <w:p w:rsidR="00C60735" w:rsidRDefault="00C60735" w:rsidP="00094D63">
            <w:pPr>
              <w:pStyle w:val="ListParagraph"/>
              <w:autoSpaceDE w:val="0"/>
              <w:autoSpaceDN w:val="0"/>
              <w:adjustRightInd w:val="0"/>
              <w:spacing w:before="0" w:after="0"/>
              <w:ind w:left="18"/>
              <w:rPr>
                <w:rFonts w:asciiTheme="minorHAnsi" w:hAnsiTheme="minorHAnsi" w:cstheme="minorHAnsi"/>
                <w:lang w:eastAsia="en-GB"/>
              </w:rPr>
            </w:pPr>
            <w:r>
              <w:rPr>
                <w:rFonts w:asciiTheme="minorHAnsi" w:hAnsiTheme="minorHAnsi" w:cstheme="minorHAnsi"/>
                <w:lang w:eastAsia="en-GB"/>
              </w:rPr>
              <w:t>The Practice Manager and the Firm annually (or more frequently if needed) review coverages to determine if amounts and coverages are appropriate for the practice.</w:t>
            </w:r>
          </w:p>
          <w:p w:rsidR="00C60735" w:rsidRDefault="00C60735" w:rsidP="00094D63">
            <w:pPr>
              <w:spacing w:after="0" w:line="240" w:lineRule="auto"/>
              <w:ind w:left="18"/>
              <w:rPr>
                <w:rFonts w:cstheme="minorHAnsi"/>
                <w:sz w:val="20"/>
                <w:szCs w:val="20"/>
                <w:lang w:eastAsia="en-GB"/>
              </w:rPr>
            </w:pPr>
          </w:p>
          <w:p w:rsidR="00C60735" w:rsidRDefault="00C60735" w:rsidP="00094D63">
            <w:pPr>
              <w:spacing w:after="0" w:line="240" w:lineRule="auto"/>
              <w:ind w:left="18"/>
              <w:rPr>
                <w:rFonts w:cstheme="minorHAnsi"/>
                <w:sz w:val="20"/>
                <w:szCs w:val="20"/>
                <w:lang w:eastAsia="en-GB"/>
              </w:rPr>
            </w:pPr>
            <w:r>
              <w:rPr>
                <w:rFonts w:cstheme="minorHAnsi"/>
                <w:sz w:val="20"/>
                <w:szCs w:val="20"/>
                <w:lang w:eastAsia="en-GB"/>
              </w:rPr>
              <w:t>The Practice Manager reports, as required by the respective policies, any matters required to be reported by the terms of the policies.</w:t>
            </w:r>
          </w:p>
          <w:p w:rsidR="00C60735" w:rsidRPr="00955A0C" w:rsidRDefault="00C60735" w:rsidP="00094D63">
            <w:pPr>
              <w:spacing w:after="0" w:line="240" w:lineRule="auto"/>
              <w:ind w:left="18"/>
              <w:rPr>
                <w:rFonts w:cstheme="minorHAnsi"/>
                <w:sz w:val="20"/>
                <w:szCs w:val="20"/>
              </w:rPr>
            </w:pPr>
          </w:p>
          <w:p w:rsidR="00C60735" w:rsidRPr="00EF7D38" w:rsidRDefault="00C60735" w:rsidP="00094D63">
            <w:pPr>
              <w:pStyle w:val="ListParagraph"/>
              <w:autoSpaceDE w:val="0"/>
              <w:autoSpaceDN w:val="0"/>
              <w:adjustRightInd w:val="0"/>
              <w:spacing w:before="0" w:after="0"/>
              <w:ind w:left="18"/>
              <w:rPr>
                <w:rFonts w:asciiTheme="minorHAnsi" w:hAnsiTheme="minorHAnsi" w:cstheme="minorHAnsi"/>
                <w:lang w:eastAsia="en-GB"/>
              </w:rPr>
            </w:pPr>
          </w:p>
        </w:tc>
      </w:tr>
      <w:tr w:rsidR="00C60735" w:rsidRPr="00564FAE" w:rsidTr="00094D63">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60735" w:rsidRPr="00E31020" w:rsidRDefault="00C60735" w:rsidP="00094D63">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60735" w:rsidRPr="00484401" w:rsidRDefault="00C60735" w:rsidP="00094D6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60735" w:rsidRDefault="00C60735" w:rsidP="00EF7D38">
      <w:pPr>
        <w:spacing w:after="0" w:line="240" w:lineRule="auto"/>
        <w:rPr>
          <w:rStyle w:val="subheading1"/>
          <w:color w:val="auto"/>
        </w:rPr>
      </w:pPr>
    </w:p>
    <w:p w:rsidR="00C60735" w:rsidRDefault="00C60735" w:rsidP="00EF7D38">
      <w:pPr>
        <w:spacing w:after="0" w:line="240" w:lineRule="auto"/>
        <w:rPr>
          <w:rStyle w:val="subheading1"/>
          <w:color w:val="auto"/>
        </w:rPr>
      </w:pPr>
    </w:p>
    <w:p w:rsidR="00C60735" w:rsidRDefault="00C60735">
      <w:pPr>
        <w:rPr>
          <w:rStyle w:val="subheading1"/>
          <w:color w:val="auto"/>
        </w:rPr>
      </w:pPr>
      <w:r>
        <w:rPr>
          <w:rStyle w:val="subheading1"/>
          <w:color w:val="auto"/>
        </w:rPr>
        <w:br w:type="page"/>
      </w:r>
    </w:p>
    <w:p w:rsidR="00C60735" w:rsidRDefault="00C60735" w:rsidP="00EF7D38">
      <w:pPr>
        <w:spacing w:after="0" w:line="240" w:lineRule="auto"/>
        <w:rPr>
          <w:rStyle w:val="subheading1"/>
          <w:color w:val="auto"/>
        </w:rPr>
      </w:pPr>
    </w:p>
    <w:p w:rsidR="00C60735" w:rsidRDefault="00C60735" w:rsidP="00EF7D38">
      <w:pPr>
        <w:spacing w:after="0" w:line="240" w:lineRule="auto"/>
        <w:rPr>
          <w:rStyle w:val="subheading1"/>
          <w:color w:val="auto"/>
        </w:rPr>
      </w:pPr>
    </w:p>
    <w:p w:rsidR="00C60735" w:rsidRDefault="00C60735" w:rsidP="00EF7D38">
      <w:pPr>
        <w:spacing w:after="0" w:line="240" w:lineRule="auto"/>
        <w:rPr>
          <w:rStyle w:val="subheading1"/>
          <w:color w:val="auto"/>
        </w:rPr>
      </w:pPr>
    </w:p>
    <w:tbl>
      <w:tblPr>
        <w:tblStyle w:val="TableGrid"/>
        <w:tblW w:w="0" w:type="auto"/>
        <w:tblInd w:w="108" w:type="dxa"/>
        <w:tblLook w:val="04A0" w:firstRow="1" w:lastRow="0" w:firstColumn="1" w:lastColumn="0" w:noHBand="0" w:noVBand="1"/>
      </w:tblPr>
      <w:tblGrid>
        <w:gridCol w:w="2250"/>
        <w:gridCol w:w="2609"/>
        <w:gridCol w:w="5984"/>
      </w:tblGrid>
      <w:tr w:rsidR="00BD0FFD" w:rsidRPr="00B80EA7" w:rsidTr="002229AA">
        <w:tc>
          <w:tcPr>
            <w:tcW w:w="10843" w:type="dxa"/>
            <w:gridSpan w:val="3"/>
            <w:shd w:val="clear" w:color="auto" w:fill="FFFF99"/>
          </w:tcPr>
          <w:p w:rsidR="00BD0FFD" w:rsidRPr="00D519E2" w:rsidRDefault="00BD0FFD" w:rsidP="000401E5">
            <w:pPr>
              <w:rPr>
                <w:rFonts w:asciiTheme="minorHAnsi" w:hAnsiTheme="minorHAnsi" w:cstheme="minorHAnsi"/>
                <w:b/>
                <w:szCs w:val="20"/>
              </w:rPr>
            </w:pPr>
            <w:r w:rsidRPr="00D519E2">
              <w:rPr>
                <w:rFonts w:asciiTheme="minorHAnsi" w:hAnsiTheme="minorHAnsi" w:cstheme="minorHAnsi"/>
                <w:b/>
                <w:szCs w:val="20"/>
              </w:rPr>
              <w:t>Review/Revision History for</w:t>
            </w:r>
            <w:r w:rsidR="00292C0F">
              <w:rPr>
                <w:rFonts w:asciiTheme="minorHAnsi" w:hAnsiTheme="minorHAnsi" w:cstheme="minorHAnsi"/>
                <w:b/>
                <w:szCs w:val="20"/>
              </w:rPr>
              <w:t xml:space="preserve"> </w:t>
            </w:r>
            <w:r w:rsidR="007719D7">
              <w:rPr>
                <w:rFonts w:asciiTheme="minorHAnsi" w:hAnsiTheme="minorHAnsi" w:cstheme="minorHAnsi"/>
                <w:b/>
                <w:szCs w:val="20"/>
              </w:rPr>
              <w:t>Professional Liability</w:t>
            </w:r>
            <w:r w:rsidR="00292C0F">
              <w:rPr>
                <w:rFonts w:asciiTheme="minorHAnsi" w:hAnsiTheme="minorHAnsi" w:cstheme="minorHAnsi"/>
                <w:b/>
                <w:szCs w:val="20"/>
              </w:rPr>
              <w:t>, Errors &amp; Omissions and Fidelity Coverage</w:t>
            </w:r>
            <w:r w:rsidRPr="00D519E2">
              <w:rPr>
                <w:rFonts w:asciiTheme="minorHAnsi" w:hAnsiTheme="minorHAnsi" w:cstheme="minorHAnsi"/>
                <w:b/>
                <w:szCs w:val="20"/>
              </w:rPr>
              <w:t xml:space="preserve"> </w:t>
            </w:r>
            <w:r>
              <w:rPr>
                <w:rFonts w:asciiTheme="minorHAnsi" w:hAnsiTheme="minorHAnsi" w:cstheme="minorHAnsi"/>
                <w:b/>
                <w:szCs w:val="20"/>
              </w:rPr>
              <w:t>Policies and Procedures</w:t>
            </w:r>
            <w:r w:rsidRPr="00D519E2">
              <w:rPr>
                <w:rFonts w:asciiTheme="minorHAnsi" w:hAnsiTheme="minorHAnsi" w:cstheme="minorHAnsi"/>
                <w:b/>
                <w:szCs w:val="20"/>
              </w:rPr>
              <w:t>:</w:t>
            </w:r>
          </w:p>
          <w:p w:rsidR="00BD0FFD" w:rsidRPr="00D519E2" w:rsidRDefault="00BD0FFD" w:rsidP="000401E5">
            <w:pPr>
              <w:rPr>
                <w:rFonts w:asciiTheme="minorHAnsi" w:hAnsiTheme="minorHAnsi" w:cstheme="minorHAnsi"/>
                <w:szCs w:val="20"/>
              </w:rPr>
            </w:pPr>
            <w:r w:rsidRPr="00D519E2">
              <w:rPr>
                <w:rFonts w:asciiTheme="minorHAnsi" w:hAnsiTheme="minorHAnsi" w:cstheme="minorHAnsi"/>
                <w:szCs w:val="20"/>
              </w:rPr>
              <w:t xml:space="preserve">Each time the above information pertinent to </w:t>
            </w:r>
            <w:r>
              <w:rPr>
                <w:rFonts w:asciiTheme="minorHAnsi" w:hAnsiTheme="minorHAnsi" w:cstheme="minorHAnsi"/>
                <w:szCs w:val="20"/>
              </w:rPr>
              <w:t>these Policies and Procedures</w:t>
            </w:r>
            <w:r w:rsidRPr="00D519E2">
              <w:rPr>
                <w:rFonts w:asciiTheme="minorHAnsi" w:hAnsiTheme="minorHAnsi" w:cstheme="minorHAnsi"/>
                <w:szCs w:val="20"/>
              </w:rPr>
              <w:t xml:space="preserve"> is:</w:t>
            </w:r>
          </w:p>
          <w:p w:rsidR="00BD0FFD" w:rsidRPr="00D519E2" w:rsidRDefault="00BD0FFD" w:rsidP="00BD0FFD">
            <w:pPr>
              <w:pStyle w:val="ListParagraph"/>
              <w:numPr>
                <w:ilvl w:val="0"/>
                <w:numId w:val="6"/>
              </w:numPr>
              <w:spacing w:before="0" w:after="0"/>
              <w:rPr>
                <w:rFonts w:asciiTheme="minorHAnsi" w:hAnsiTheme="minorHAnsi" w:cstheme="minorHAnsi"/>
              </w:rPr>
            </w:pPr>
            <w:r w:rsidRPr="00D519E2">
              <w:rPr>
                <w:rFonts w:asciiTheme="minorHAnsi" w:hAnsiTheme="minorHAnsi" w:cstheme="minorHAnsi"/>
              </w:rPr>
              <w:t>Reviewed for accuracy and no changes made, enter the date of the review, the person doing the review and a brief description such as “Reviewed by ____________.  No revisions needed.”</w:t>
            </w:r>
          </w:p>
          <w:p w:rsidR="00BD0FFD" w:rsidRPr="00D519E2" w:rsidRDefault="00BD0FFD" w:rsidP="00BD0FFD">
            <w:pPr>
              <w:pStyle w:val="ListParagraph"/>
              <w:numPr>
                <w:ilvl w:val="0"/>
                <w:numId w:val="5"/>
              </w:numPr>
              <w:spacing w:before="0" w:after="0"/>
              <w:rPr>
                <w:rFonts w:asciiTheme="minorHAnsi" w:hAnsiTheme="minorHAnsi" w:cstheme="minorHAnsi"/>
              </w:rPr>
            </w:pPr>
            <w:r w:rsidRPr="00D519E2">
              <w:rPr>
                <w:rFonts w:asciiTheme="minorHAnsi" w:hAnsiTheme="minorHAnsi" w:cstheme="minorHAnsi"/>
              </w:rPr>
              <w:t xml:space="preserve">Reviewed for accuracy and revision(s) made, enter the date of the revision(s), the name of the person making the revision(s), and a detailed description of the change(s) such as “Reviewed by Sally Doe.  </w:t>
            </w:r>
            <w:r>
              <w:rPr>
                <w:rFonts w:asciiTheme="minorHAnsi" w:hAnsiTheme="minorHAnsi" w:cstheme="minorHAnsi"/>
              </w:rPr>
              <w:t>Employment status of Notary Elizabeth Watson updated to Inactive</w:t>
            </w:r>
            <w:r w:rsidRPr="00D519E2">
              <w:rPr>
                <w:rFonts w:asciiTheme="minorHAnsi" w:hAnsiTheme="minorHAnsi" w:cstheme="minorHAnsi"/>
              </w:rPr>
              <w:t>.”</w:t>
            </w: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9" w:type="dxa"/>
            <w:tcMar>
              <w:top w:w="14" w:type="dxa"/>
              <w:left w:w="43" w:type="dxa"/>
              <w:bottom w:w="14" w:type="dxa"/>
              <w:right w:w="43" w:type="dxa"/>
            </w:tcMar>
          </w:tcPr>
          <w:p w:rsidR="00BD0FFD" w:rsidRPr="00B80EA7" w:rsidRDefault="00BD0FFD" w:rsidP="000401E5">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84" w:type="dxa"/>
          </w:tcPr>
          <w:p w:rsidR="00BD0FFD" w:rsidRPr="00B80EA7" w:rsidRDefault="00BD0FFD" w:rsidP="000401E5">
            <w:pPr>
              <w:jc w:val="center"/>
              <w:rPr>
                <w:rFonts w:asciiTheme="minorHAnsi" w:hAnsiTheme="minorHAnsi" w:cstheme="minorHAnsi"/>
                <w:szCs w:val="20"/>
              </w:rPr>
            </w:pPr>
            <w:r w:rsidRPr="00B80EA7">
              <w:rPr>
                <w:rFonts w:asciiTheme="minorHAnsi" w:hAnsiTheme="minorHAnsi" w:cstheme="minorHAnsi"/>
                <w:szCs w:val="20"/>
              </w:rPr>
              <w:t>Description</w:t>
            </w: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r w:rsidR="00BD0FFD" w:rsidRPr="00B80EA7" w:rsidTr="002229A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2609" w:type="dxa"/>
            <w:tcMar>
              <w:top w:w="14" w:type="dxa"/>
              <w:left w:w="43" w:type="dxa"/>
              <w:bottom w:w="14" w:type="dxa"/>
              <w:right w:w="43" w:type="dxa"/>
            </w:tcMar>
          </w:tcPr>
          <w:p w:rsidR="00BD0FFD" w:rsidRPr="00B80EA7" w:rsidRDefault="00BD0FFD" w:rsidP="000401E5">
            <w:pPr>
              <w:jc w:val="center"/>
              <w:rPr>
                <w:rFonts w:cstheme="minorHAnsi"/>
                <w:szCs w:val="20"/>
              </w:rPr>
            </w:pPr>
          </w:p>
        </w:tc>
        <w:tc>
          <w:tcPr>
            <w:tcW w:w="5984" w:type="dxa"/>
          </w:tcPr>
          <w:p w:rsidR="00BD0FFD" w:rsidRPr="00B80EA7" w:rsidRDefault="00BD0FFD" w:rsidP="000401E5">
            <w:pPr>
              <w:jc w:val="center"/>
              <w:rPr>
                <w:rFonts w:cstheme="minorHAnsi"/>
                <w:szCs w:val="20"/>
              </w:rPr>
            </w:pPr>
          </w:p>
        </w:tc>
      </w:tr>
    </w:tbl>
    <w:p w:rsidR="00194E32" w:rsidRDefault="00194E32" w:rsidP="00EF7D38">
      <w:pPr>
        <w:spacing w:after="0" w:line="240" w:lineRule="auto"/>
        <w:rPr>
          <w:rStyle w:val="subheading1"/>
          <w:color w:val="auto"/>
        </w:rPr>
      </w:pPr>
    </w:p>
    <w:p w:rsidR="00785249" w:rsidRDefault="00785249" w:rsidP="00EF7D38">
      <w:pPr>
        <w:spacing w:after="0" w:line="240" w:lineRule="auto"/>
        <w:rPr>
          <w:rStyle w:val="subheading1"/>
          <w:color w:val="auto"/>
        </w:rPr>
      </w:pPr>
    </w:p>
    <w:p w:rsidR="00785249" w:rsidRDefault="00785249">
      <w:pPr>
        <w:rPr>
          <w:rStyle w:val="subheading1"/>
          <w:color w:val="auto"/>
        </w:rPr>
      </w:pPr>
      <w:r>
        <w:rPr>
          <w:rStyle w:val="subheading1"/>
          <w:color w:val="auto"/>
        </w:rPr>
        <w:br w:type="page"/>
      </w:r>
    </w:p>
    <w:p w:rsidR="00785249" w:rsidRDefault="00785249" w:rsidP="00785249">
      <w:pPr>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785249" w:rsidRPr="00626762" w:rsidTr="00445BD1">
        <w:tc>
          <w:tcPr>
            <w:tcW w:w="2520" w:type="dxa"/>
            <w:gridSpan w:val="3"/>
            <w:shd w:val="clear" w:color="auto" w:fill="FFFF99"/>
            <w:tcMar>
              <w:left w:w="43" w:type="dxa"/>
              <w:right w:w="43" w:type="dxa"/>
            </w:tcMar>
          </w:tcPr>
          <w:p w:rsidR="00785249" w:rsidRDefault="00785249" w:rsidP="00445BD1">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785249" w:rsidRDefault="00785249" w:rsidP="00445BD1">
            <w:pPr>
              <w:rPr>
                <w:rFonts w:asciiTheme="minorHAnsi" w:hAnsiTheme="minorHAnsi" w:cstheme="minorHAnsi"/>
                <w:szCs w:val="20"/>
              </w:rPr>
            </w:pPr>
            <w:r>
              <w:rPr>
                <w:rFonts w:asciiTheme="minorHAnsi" w:hAnsiTheme="minorHAnsi" w:cstheme="minorHAnsi"/>
                <w:szCs w:val="20"/>
              </w:rPr>
              <w:t>Principals</w:t>
            </w:r>
          </w:p>
          <w:p w:rsidR="00785249" w:rsidRPr="00626762" w:rsidRDefault="00785249" w:rsidP="00445BD1">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785249" w:rsidRDefault="00785249" w:rsidP="00445BD1">
            <w:pPr>
              <w:rPr>
                <w:rFonts w:asciiTheme="minorHAnsi" w:hAnsiTheme="minorHAnsi" w:cstheme="minorHAnsi"/>
                <w:szCs w:val="20"/>
              </w:rPr>
            </w:pPr>
            <w:r>
              <w:rPr>
                <w:rFonts w:asciiTheme="minorHAnsi" w:hAnsiTheme="minorHAnsi" w:cstheme="minorHAnsi"/>
                <w:szCs w:val="20"/>
              </w:rPr>
              <w:t>Service Provided</w:t>
            </w:r>
          </w:p>
          <w:p w:rsidR="00785249" w:rsidRPr="00626762" w:rsidRDefault="00785249" w:rsidP="00445BD1">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785249" w:rsidRPr="00626762" w:rsidRDefault="00785249" w:rsidP="00445BD1">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785249" w:rsidRPr="00626762" w:rsidRDefault="00785249" w:rsidP="00445BD1">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785249" w:rsidRPr="00626762" w:rsidRDefault="00785249" w:rsidP="00445BD1">
            <w:pPr>
              <w:rPr>
                <w:rFonts w:asciiTheme="minorHAnsi" w:hAnsiTheme="minorHAnsi" w:cstheme="minorHAnsi"/>
                <w:szCs w:val="20"/>
              </w:rPr>
            </w:pPr>
            <w:r>
              <w:rPr>
                <w:rFonts w:asciiTheme="minorHAnsi" w:hAnsiTheme="minorHAnsi" w:cstheme="minorHAnsi"/>
                <w:szCs w:val="20"/>
              </w:rPr>
              <w:t>Next Renewal Date</w:t>
            </w:r>
          </w:p>
        </w:tc>
      </w:tr>
      <w:tr w:rsidR="00785249" w:rsidRPr="00626762" w:rsidTr="00445BD1">
        <w:tc>
          <w:tcPr>
            <w:tcW w:w="2520" w:type="dxa"/>
            <w:gridSpan w:val="3"/>
            <w:tcMar>
              <w:left w:w="43" w:type="dxa"/>
              <w:right w:w="43" w:type="dxa"/>
            </w:tcMar>
          </w:tcPr>
          <w:p w:rsidR="00785249" w:rsidRPr="00626762" w:rsidRDefault="00785249" w:rsidP="00445BD1">
            <w:pPr>
              <w:rPr>
                <w:rFonts w:asciiTheme="minorHAnsi" w:hAnsiTheme="minorHAnsi" w:cstheme="minorHAnsi"/>
                <w:szCs w:val="20"/>
              </w:rPr>
            </w:pPr>
          </w:p>
        </w:tc>
        <w:tc>
          <w:tcPr>
            <w:tcW w:w="3330" w:type="dxa"/>
            <w:gridSpan w:val="2"/>
            <w:tcMar>
              <w:left w:w="43" w:type="dxa"/>
              <w:right w:w="43" w:type="dxa"/>
            </w:tcMar>
          </w:tcPr>
          <w:p w:rsidR="00785249" w:rsidRPr="00626762" w:rsidRDefault="00785249" w:rsidP="00445BD1">
            <w:pPr>
              <w:rPr>
                <w:rFonts w:asciiTheme="minorHAnsi" w:hAnsiTheme="minorHAnsi" w:cstheme="minorHAnsi"/>
                <w:szCs w:val="20"/>
              </w:rPr>
            </w:pPr>
          </w:p>
        </w:tc>
        <w:tc>
          <w:tcPr>
            <w:tcW w:w="2880" w:type="dxa"/>
            <w:tcMar>
              <w:left w:w="43" w:type="dxa"/>
              <w:right w:w="43" w:type="dxa"/>
            </w:tcMar>
          </w:tcPr>
          <w:p w:rsidR="00785249" w:rsidRPr="00626762" w:rsidRDefault="00785249" w:rsidP="00445BD1">
            <w:pPr>
              <w:rPr>
                <w:rFonts w:asciiTheme="minorHAnsi" w:hAnsiTheme="minorHAnsi" w:cstheme="minorHAnsi"/>
                <w:szCs w:val="20"/>
              </w:rPr>
            </w:pPr>
          </w:p>
        </w:tc>
        <w:tc>
          <w:tcPr>
            <w:tcW w:w="1080" w:type="dxa"/>
            <w:tcMar>
              <w:left w:w="43" w:type="dxa"/>
              <w:right w:w="43" w:type="dxa"/>
            </w:tcMar>
          </w:tcPr>
          <w:p w:rsidR="00785249" w:rsidRPr="00626762" w:rsidRDefault="00785249" w:rsidP="00445BD1">
            <w:pPr>
              <w:rPr>
                <w:rFonts w:asciiTheme="minorHAnsi" w:hAnsiTheme="minorHAnsi" w:cstheme="minorHAnsi"/>
                <w:szCs w:val="20"/>
              </w:rPr>
            </w:pPr>
          </w:p>
        </w:tc>
        <w:tc>
          <w:tcPr>
            <w:tcW w:w="990" w:type="dxa"/>
            <w:gridSpan w:val="2"/>
            <w:tcMar>
              <w:left w:w="43" w:type="dxa"/>
              <w:right w:w="43" w:type="dxa"/>
            </w:tcMar>
          </w:tcPr>
          <w:p w:rsidR="00785249" w:rsidRPr="00626762" w:rsidRDefault="00785249" w:rsidP="00445BD1">
            <w:pPr>
              <w:rPr>
                <w:rFonts w:asciiTheme="minorHAnsi" w:hAnsiTheme="minorHAnsi" w:cstheme="minorHAnsi"/>
                <w:szCs w:val="20"/>
              </w:rPr>
            </w:pPr>
          </w:p>
        </w:tc>
      </w:tr>
      <w:tr w:rsidR="00785249" w:rsidRPr="00626762" w:rsidTr="00445BD1">
        <w:tc>
          <w:tcPr>
            <w:tcW w:w="2520" w:type="dxa"/>
            <w:gridSpan w:val="3"/>
            <w:tcMar>
              <w:left w:w="43" w:type="dxa"/>
              <w:right w:w="43" w:type="dxa"/>
            </w:tcMar>
          </w:tcPr>
          <w:p w:rsidR="00785249" w:rsidRPr="00626762" w:rsidRDefault="00785249" w:rsidP="00445BD1">
            <w:pPr>
              <w:rPr>
                <w:rFonts w:asciiTheme="minorHAnsi" w:hAnsiTheme="minorHAnsi" w:cstheme="minorHAnsi"/>
                <w:szCs w:val="20"/>
              </w:rPr>
            </w:pPr>
          </w:p>
        </w:tc>
        <w:tc>
          <w:tcPr>
            <w:tcW w:w="3330" w:type="dxa"/>
            <w:gridSpan w:val="2"/>
            <w:tcMar>
              <w:left w:w="43" w:type="dxa"/>
              <w:right w:w="43" w:type="dxa"/>
            </w:tcMar>
          </w:tcPr>
          <w:p w:rsidR="00785249" w:rsidRPr="00626762" w:rsidRDefault="00785249" w:rsidP="00445BD1">
            <w:pPr>
              <w:rPr>
                <w:rFonts w:asciiTheme="minorHAnsi" w:hAnsiTheme="minorHAnsi" w:cstheme="minorHAnsi"/>
                <w:szCs w:val="20"/>
              </w:rPr>
            </w:pPr>
          </w:p>
        </w:tc>
        <w:tc>
          <w:tcPr>
            <w:tcW w:w="2880" w:type="dxa"/>
            <w:tcMar>
              <w:left w:w="43" w:type="dxa"/>
              <w:right w:w="43" w:type="dxa"/>
            </w:tcMar>
          </w:tcPr>
          <w:p w:rsidR="00785249" w:rsidRPr="00626762" w:rsidRDefault="00785249" w:rsidP="00445BD1">
            <w:pPr>
              <w:rPr>
                <w:rFonts w:asciiTheme="minorHAnsi" w:hAnsiTheme="minorHAnsi" w:cstheme="minorHAnsi"/>
                <w:szCs w:val="20"/>
              </w:rPr>
            </w:pPr>
          </w:p>
        </w:tc>
        <w:tc>
          <w:tcPr>
            <w:tcW w:w="1080" w:type="dxa"/>
            <w:tcMar>
              <w:left w:w="43" w:type="dxa"/>
              <w:right w:w="43" w:type="dxa"/>
            </w:tcMar>
          </w:tcPr>
          <w:p w:rsidR="00785249" w:rsidRPr="00626762" w:rsidRDefault="00785249" w:rsidP="00445BD1">
            <w:pPr>
              <w:rPr>
                <w:rFonts w:asciiTheme="minorHAnsi" w:hAnsiTheme="minorHAnsi" w:cstheme="minorHAnsi"/>
                <w:szCs w:val="20"/>
              </w:rPr>
            </w:pPr>
          </w:p>
        </w:tc>
        <w:tc>
          <w:tcPr>
            <w:tcW w:w="990" w:type="dxa"/>
            <w:gridSpan w:val="2"/>
            <w:tcMar>
              <w:left w:w="43" w:type="dxa"/>
              <w:right w:w="43" w:type="dxa"/>
            </w:tcMar>
          </w:tcPr>
          <w:p w:rsidR="00785249" w:rsidRPr="00626762" w:rsidRDefault="00785249" w:rsidP="00445BD1">
            <w:pPr>
              <w:rPr>
                <w:rFonts w:asciiTheme="minorHAnsi" w:hAnsiTheme="minorHAnsi" w:cstheme="minorHAnsi"/>
                <w:szCs w:val="20"/>
              </w:rPr>
            </w:pPr>
          </w:p>
        </w:tc>
      </w:tr>
      <w:tr w:rsidR="00785249" w:rsidRPr="00626762" w:rsidTr="00445BD1">
        <w:tc>
          <w:tcPr>
            <w:tcW w:w="2520" w:type="dxa"/>
            <w:gridSpan w:val="3"/>
            <w:tcMar>
              <w:left w:w="43" w:type="dxa"/>
              <w:right w:w="43" w:type="dxa"/>
            </w:tcMar>
          </w:tcPr>
          <w:p w:rsidR="00785249" w:rsidRPr="00626762" w:rsidRDefault="00785249" w:rsidP="00445BD1">
            <w:pPr>
              <w:rPr>
                <w:rFonts w:asciiTheme="minorHAnsi" w:hAnsiTheme="minorHAnsi" w:cstheme="minorHAnsi"/>
                <w:szCs w:val="20"/>
              </w:rPr>
            </w:pPr>
          </w:p>
        </w:tc>
        <w:tc>
          <w:tcPr>
            <w:tcW w:w="3330" w:type="dxa"/>
            <w:gridSpan w:val="2"/>
            <w:tcMar>
              <w:left w:w="43" w:type="dxa"/>
              <w:right w:w="43" w:type="dxa"/>
            </w:tcMar>
          </w:tcPr>
          <w:p w:rsidR="00785249" w:rsidRPr="00626762" w:rsidRDefault="00785249" w:rsidP="00445BD1">
            <w:pPr>
              <w:rPr>
                <w:rFonts w:asciiTheme="minorHAnsi" w:hAnsiTheme="minorHAnsi" w:cstheme="minorHAnsi"/>
                <w:szCs w:val="20"/>
              </w:rPr>
            </w:pPr>
          </w:p>
        </w:tc>
        <w:tc>
          <w:tcPr>
            <w:tcW w:w="2880" w:type="dxa"/>
            <w:tcMar>
              <w:left w:w="43" w:type="dxa"/>
              <w:right w:w="43" w:type="dxa"/>
            </w:tcMar>
          </w:tcPr>
          <w:p w:rsidR="00785249" w:rsidRPr="00626762" w:rsidRDefault="00785249" w:rsidP="00445BD1">
            <w:pPr>
              <w:rPr>
                <w:rFonts w:asciiTheme="minorHAnsi" w:hAnsiTheme="minorHAnsi" w:cstheme="minorHAnsi"/>
                <w:szCs w:val="20"/>
              </w:rPr>
            </w:pPr>
          </w:p>
        </w:tc>
        <w:tc>
          <w:tcPr>
            <w:tcW w:w="1080" w:type="dxa"/>
            <w:tcMar>
              <w:left w:w="43" w:type="dxa"/>
              <w:right w:w="43" w:type="dxa"/>
            </w:tcMar>
          </w:tcPr>
          <w:p w:rsidR="00785249" w:rsidRPr="00626762" w:rsidRDefault="00785249" w:rsidP="00445BD1">
            <w:pPr>
              <w:rPr>
                <w:rFonts w:asciiTheme="minorHAnsi" w:hAnsiTheme="minorHAnsi" w:cstheme="minorHAnsi"/>
                <w:szCs w:val="20"/>
              </w:rPr>
            </w:pPr>
          </w:p>
        </w:tc>
        <w:tc>
          <w:tcPr>
            <w:tcW w:w="990" w:type="dxa"/>
            <w:gridSpan w:val="2"/>
            <w:tcMar>
              <w:left w:w="43" w:type="dxa"/>
              <w:right w:w="43" w:type="dxa"/>
            </w:tcMar>
          </w:tcPr>
          <w:p w:rsidR="00785249" w:rsidRPr="00626762" w:rsidRDefault="00785249" w:rsidP="00445BD1">
            <w:pPr>
              <w:rPr>
                <w:rFonts w:asciiTheme="minorHAnsi" w:hAnsiTheme="minorHAnsi" w:cstheme="minorHAnsi"/>
                <w:szCs w:val="20"/>
              </w:rPr>
            </w:pPr>
          </w:p>
        </w:tc>
      </w:tr>
      <w:tr w:rsidR="00785249" w:rsidRPr="00626762" w:rsidTr="00445BD1">
        <w:tc>
          <w:tcPr>
            <w:tcW w:w="2520" w:type="dxa"/>
            <w:gridSpan w:val="3"/>
            <w:tcMar>
              <w:left w:w="43" w:type="dxa"/>
              <w:right w:w="43" w:type="dxa"/>
            </w:tcMar>
          </w:tcPr>
          <w:p w:rsidR="00785249" w:rsidRPr="00626762" w:rsidRDefault="00785249" w:rsidP="00445BD1">
            <w:pPr>
              <w:rPr>
                <w:rFonts w:asciiTheme="minorHAnsi" w:hAnsiTheme="minorHAnsi" w:cstheme="minorHAnsi"/>
                <w:szCs w:val="20"/>
              </w:rPr>
            </w:pPr>
          </w:p>
        </w:tc>
        <w:tc>
          <w:tcPr>
            <w:tcW w:w="3330" w:type="dxa"/>
            <w:gridSpan w:val="2"/>
            <w:tcMar>
              <w:left w:w="43" w:type="dxa"/>
              <w:right w:w="43" w:type="dxa"/>
            </w:tcMar>
          </w:tcPr>
          <w:p w:rsidR="00785249" w:rsidRPr="00626762" w:rsidRDefault="00785249" w:rsidP="00445BD1">
            <w:pPr>
              <w:rPr>
                <w:rFonts w:asciiTheme="minorHAnsi" w:hAnsiTheme="minorHAnsi" w:cstheme="minorHAnsi"/>
                <w:szCs w:val="20"/>
              </w:rPr>
            </w:pPr>
          </w:p>
        </w:tc>
        <w:tc>
          <w:tcPr>
            <w:tcW w:w="2880" w:type="dxa"/>
            <w:tcMar>
              <w:left w:w="43" w:type="dxa"/>
              <w:right w:w="43" w:type="dxa"/>
            </w:tcMar>
          </w:tcPr>
          <w:p w:rsidR="00785249" w:rsidRPr="00626762" w:rsidRDefault="00785249" w:rsidP="00445BD1">
            <w:pPr>
              <w:rPr>
                <w:rFonts w:asciiTheme="minorHAnsi" w:hAnsiTheme="minorHAnsi" w:cstheme="minorHAnsi"/>
                <w:szCs w:val="20"/>
              </w:rPr>
            </w:pPr>
          </w:p>
        </w:tc>
        <w:tc>
          <w:tcPr>
            <w:tcW w:w="1080" w:type="dxa"/>
            <w:tcMar>
              <w:left w:w="43" w:type="dxa"/>
              <w:right w:w="43" w:type="dxa"/>
            </w:tcMar>
          </w:tcPr>
          <w:p w:rsidR="00785249" w:rsidRPr="00626762" w:rsidRDefault="00785249" w:rsidP="00445BD1">
            <w:pPr>
              <w:rPr>
                <w:rFonts w:asciiTheme="minorHAnsi" w:hAnsiTheme="minorHAnsi" w:cstheme="minorHAnsi"/>
                <w:szCs w:val="20"/>
              </w:rPr>
            </w:pPr>
          </w:p>
        </w:tc>
        <w:tc>
          <w:tcPr>
            <w:tcW w:w="990" w:type="dxa"/>
            <w:gridSpan w:val="2"/>
            <w:tcMar>
              <w:left w:w="43" w:type="dxa"/>
              <w:right w:w="43" w:type="dxa"/>
            </w:tcMar>
          </w:tcPr>
          <w:p w:rsidR="00785249" w:rsidRPr="00626762" w:rsidRDefault="00785249" w:rsidP="00445BD1">
            <w:pPr>
              <w:rPr>
                <w:rFonts w:asciiTheme="minorHAnsi" w:hAnsiTheme="minorHAnsi" w:cstheme="minorHAnsi"/>
                <w:szCs w:val="20"/>
              </w:rPr>
            </w:pPr>
          </w:p>
        </w:tc>
      </w:tr>
      <w:tr w:rsidR="00785249" w:rsidRPr="00626762" w:rsidTr="00445BD1">
        <w:tc>
          <w:tcPr>
            <w:tcW w:w="2520" w:type="dxa"/>
            <w:gridSpan w:val="3"/>
            <w:tcMar>
              <w:left w:w="43" w:type="dxa"/>
              <w:right w:w="43" w:type="dxa"/>
            </w:tcMar>
          </w:tcPr>
          <w:p w:rsidR="00785249" w:rsidRPr="00626762" w:rsidRDefault="00785249" w:rsidP="00445BD1">
            <w:pPr>
              <w:rPr>
                <w:rFonts w:asciiTheme="minorHAnsi" w:hAnsiTheme="minorHAnsi" w:cstheme="minorHAnsi"/>
                <w:szCs w:val="20"/>
              </w:rPr>
            </w:pPr>
          </w:p>
        </w:tc>
        <w:tc>
          <w:tcPr>
            <w:tcW w:w="3330" w:type="dxa"/>
            <w:gridSpan w:val="2"/>
            <w:tcMar>
              <w:left w:w="43" w:type="dxa"/>
              <w:right w:w="43" w:type="dxa"/>
            </w:tcMar>
          </w:tcPr>
          <w:p w:rsidR="00785249" w:rsidRPr="00626762" w:rsidRDefault="00785249" w:rsidP="00445BD1">
            <w:pPr>
              <w:rPr>
                <w:rFonts w:asciiTheme="minorHAnsi" w:hAnsiTheme="minorHAnsi" w:cstheme="minorHAnsi"/>
                <w:szCs w:val="20"/>
              </w:rPr>
            </w:pPr>
          </w:p>
        </w:tc>
        <w:tc>
          <w:tcPr>
            <w:tcW w:w="2880" w:type="dxa"/>
            <w:tcMar>
              <w:left w:w="43" w:type="dxa"/>
              <w:right w:w="43" w:type="dxa"/>
            </w:tcMar>
          </w:tcPr>
          <w:p w:rsidR="00785249" w:rsidRPr="00626762" w:rsidRDefault="00785249" w:rsidP="00445BD1">
            <w:pPr>
              <w:rPr>
                <w:rFonts w:asciiTheme="minorHAnsi" w:hAnsiTheme="minorHAnsi" w:cstheme="minorHAnsi"/>
                <w:szCs w:val="20"/>
              </w:rPr>
            </w:pPr>
          </w:p>
        </w:tc>
        <w:tc>
          <w:tcPr>
            <w:tcW w:w="1080" w:type="dxa"/>
            <w:tcMar>
              <w:left w:w="43" w:type="dxa"/>
              <w:right w:w="43" w:type="dxa"/>
            </w:tcMar>
          </w:tcPr>
          <w:p w:rsidR="00785249" w:rsidRPr="00626762" w:rsidRDefault="00785249" w:rsidP="00445BD1">
            <w:pPr>
              <w:rPr>
                <w:rFonts w:asciiTheme="minorHAnsi" w:hAnsiTheme="minorHAnsi" w:cstheme="minorHAnsi"/>
                <w:szCs w:val="20"/>
              </w:rPr>
            </w:pPr>
          </w:p>
        </w:tc>
        <w:tc>
          <w:tcPr>
            <w:tcW w:w="990" w:type="dxa"/>
            <w:gridSpan w:val="2"/>
            <w:tcMar>
              <w:left w:w="43" w:type="dxa"/>
              <w:right w:w="43" w:type="dxa"/>
            </w:tcMar>
          </w:tcPr>
          <w:p w:rsidR="00785249" w:rsidRPr="00626762" w:rsidRDefault="00785249" w:rsidP="00445BD1">
            <w:pPr>
              <w:rPr>
                <w:rFonts w:asciiTheme="minorHAnsi" w:hAnsiTheme="minorHAnsi" w:cstheme="minorHAnsi"/>
                <w:szCs w:val="20"/>
              </w:rPr>
            </w:pPr>
          </w:p>
        </w:tc>
      </w:tr>
      <w:tr w:rsidR="00785249" w:rsidRPr="00B80EA7" w:rsidTr="00445BD1">
        <w:trPr>
          <w:gridAfter w:val="1"/>
          <w:wAfter w:w="21" w:type="dxa"/>
        </w:trPr>
        <w:tc>
          <w:tcPr>
            <w:tcW w:w="10779" w:type="dxa"/>
            <w:gridSpan w:val="8"/>
            <w:shd w:val="clear" w:color="auto" w:fill="FFFF99"/>
          </w:tcPr>
          <w:p w:rsidR="00785249" w:rsidRPr="00B80EA7" w:rsidRDefault="00785249" w:rsidP="00445BD1">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785249" w:rsidRPr="00B80EA7" w:rsidRDefault="00785249" w:rsidP="00445BD1">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785249" w:rsidRPr="00B80EA7" w:rsidRDefault="00785249" w:rsidP="00785249">
            <w:pPr>
              <w:pStyle w:val="ListParagraph"/>
              <w:numPr>
                <w:ilvl w:val="0"/>
                <w:numId w:val="6"/>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785249" w:rsidRPr="00B80EA7" w:rsidRDefault="00785249" w:rsidP="0078524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785249" w:rsidRPr="00B80EA7" w:rsidRDefault="00785249" w:rsidP="00445BD1">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785249" w:rsidRPr="00B80EA7" w:rsidRDefault="00785249" w:rsidP="00445BD1">
            <w:pPr>
              <w:jc w:val="center"/>
              <w:rPr>
                <w:rFonts w:asciiTheme="minorHAnsi" w:hAnsiTheme="minorHAnsi" w:cstheme="minorHAnsi"/>
                <w:szCs w:val="20"/>
              </w:rPr>
            </w:pPr>
            <w:r w:rsidRPr="00B80EA7">
              <w:rPr>
                <w:rFonts w:asciiTheme="minorHAnsi" w:hAnsiTheme="minorHAnsi" w:cstheme="minorHAnsi"/>
                <w:szCs w:val="20"/>
              </w:rPr>
              <w:t>Description</w:t>
            </w: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r w:rsidR="00785249"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785249" w:rsidRPr="00B80EA7" w:rsidRDefault="00785249" w:rsidP="00445BD1">
            <w:pPr>
              <w:jc w:val="center"/>
              <w:rPr>
                <w:rFonts w:cstheme="minorHAnsi"/>
                <w:szCs w:val="20"/>
              </w:rPr>
            </w:pPr>
          </w:p>
        </w:tc>
        <w:tc>
          <w:tcPr>
            <w:tcW w:w="2600" w:type="dxa"/>
            <w:gridSpan w:val="2"/>
            <w:tcMar>
              <w:top w:w="14" w:type="dxa"/>
              <w:left w:w="43" w:type="dxa"/>
              <w:bottom w:w="14" w:type="dxa"/>
              <w:right w:w="43" w:type="dxa"/>
            </w:tcMar>
          </w:tcPr>
          <w:p w:rsidR="00785249" w:rsidRPr="00B80EA7" w:rsidRDefault="00785249" w:rsidP="00445BD1">
            <w:pPr>
              <w:jc w:val="center"/>
              <w:rPr>
                <w:rFonts w:cstheme="minorHAnsi"/>
                <w:szCs w:val="20"/>
              </w:rPr>
            </w:pPr>
          </w:p>
        </w:tc>
        <w:tc>
          <w:tcPr>
            <w:tcW w:w="5930" w:type="dxa"/>
            <w:gridSpan w:val="4"/>
          </w:tcPr>
          <w:p w:rsidR="00785249" w:rsidRPr="00B80EA7" w:rsidRDefault="00785249" w:rsidP="00445BD1">
            <w:pPr>
              <w:jc w:val="center"/>
              <w:rPr>
                <w:rFonts w:cstheme="minorHAnsi"/>
                <w:szCs w:val="20"/>
              </w:rPr>
            </w:pPr>
          </w:p>
        </w:tc>
      </w:tr>
    </w:tbl>
    <w:p w:rsidR="00785249" w:rsidRPr="00711DFF" w:rsidRDefault="00785249" w:rsidP="00785249">
      <w:pPr>
        <w:rPr>
          <w:b/>
        </w:rPr>
      </w:pPr>
    </w:p>
    <w:p w:rsidR="00785249" w:rsidRDefault="00785249" w:rsidP="00EF7D38">
      <w:pPr>
        <w:spacing w:after="0" w:line="240" w:lineRule="auto"/>
        <w:rPr>
          <w:rStyle w:val="subheading1"/>
          <w:color w:val="auto"/>
        </w:rPr>
      </w:pPr>
    </w:p>
    <w:sectPr w:rsidR="00785249" w:rsidSect="00F425D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81" w:rsidRDefault="00537B81" w:rsidP="00F07C48">
      <w:pPr>
        <w:spacing w:after="0" w:line="240" w:lineRule="auto"/>
      </w:pPr>
      <w:r>
        <w:separator/>
      </w:r>
    </w:p>
  </w:endnote>
  <w:endnote w:type="continuationSeparator" w:id="0">
    <w:p w:rsidR="00537B81" w:rsidRDefault="00537B81" w:rsidP="00F0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48" w:rsidRDefault="00537B81" w:rsidP="00F07C48">
    <w:pPr>
      <w:pStyle w:val="Footer"/>
      <w:tabs>
        <w:tab w:val="clear" w:pos="9360"/>
        <w:tab w:val="right" w:pos="10440"/>
      </w:tabs>
    </w:pPr>
    <w:sdt>
      <w:sdtPr>
        <w:alias w:val="Company"/>
        <w:tag w:val=""/>
        <w:id w:val="610941077"/>
        <w:placeholder>
          <w:docPart w:val="A3054DD9BE284D748362B2E06FD69E39"/>
        </w:placeholder>
        <w:dataBinding w:prefixMappings="xmlns:ns0='http://schemas.openxmlformats.org/officeDocument/2006/extended-properties' " w:xpath="/ns0:Properties[1]/ns0:Company[1]" w:storeItemID="{6668398D-A668-4E3E-A5EB-62B293D839F1}"/>
        <w:text/>
      </w:sdtPr>
      <w:sdtEndPr/>
      <w:sdtContent>
        <w:r w:rsidR="00F07C48">
          <w:t>INSERT LAW FIRM NAME HERE</w:t>
        </w:r>
      </w:sdtContent>
    </w:sdt>
  </w:p>
  <w:p w:rsidR="00F07C48" w:rsidRPr="00DC26B5" w:rsidRDefault="00F07C48" w:rsidP="00F07C48">
    <w:pPr>
      <w:pStyle w:val="Footer"/>
      <w:tabs>
        <w:tab w:val="clear" w:pos="9360"/>
        <w:tab w:val="left" w:pos="4680"/>
      </w:tabs>
      <w:rPr>
        <w:sz w:val="20"/>
        <w:szCs w:val="20"/>
      </w:rPr>
    </w:pPr>
    <w:r>
      <w:t xml:space="preserve">(BEST PRACTICE #6) -- </w:t>
    </w:r>
    <w:r w:rsidRPr="00DC26B5">
      <w:rPr>
        <w:sz w:val="20"/>
        <w:szCs w:val="20"/>
      </w:rPr>
      <w:t xml:space="preserve">Page </w:t>
    </w:r>
    <w:r w:rsidRPr="00DC26B5">
      <w:rPr>
        <w:sz w:val="20"/>
        <w:szCs w:val="20"/>
      </w:rPr>
      <w:fldChar w:fldCharType="begin"/>
    </w:r>
    <w:r w:rsidRPr="00DC26B5">
      <w:rPr>
        <w:sz w:val="20"/>
        <w:szCs w:val="20"/>
      </w:rPr>
      <w:instrText xml:space="preserve"> PAGE  \* Arabic  \* MERGEFORMAT </w:instrText>
    </w:r>
    <w:r w:rsidRPr="00DC26B5">
      <w:rPr>
        <w:sz w:val="20"/>
        <w:szCs w:val="20"/>
      </w:rPr>
      <w:fldChar w:fldCharType="separate"/>
    </w:r>
    <w:r w:rsidR="00C60735">
      <w:rPr>
        <w:noProof/>
        <w:sz w:val="20"/>
        <w:szCs w:val="20"/>
      </w:rPr>
      <w:t>6</w:t>
    </w:r>
    <w:r w:rsidRPr="00DC26B5">
      <w:rPr>
        <w:sz w:val="20"/>
        <w:szCs w:val="20"/>
      </w:rPr>
      <w:fldChar w:fldCharType="end"/>
    </w:r>
    <w:r w:rsidRPr="00DC26B5">
      <w:rPr>
        <w:sz w:val="20"/>
        <w:szCs w:val="20"/>
      </w:rPr>
      <w:t xml:space="preserve"> of </w:t>
    </w:r>
    <w:r w:rsidRPr="00DC26B5">
      <w:rPr>
        <w:sz w:val="20"/>
        <w:szCs w:val="20"/>
      </w:rPr>
      <w:fldChar w:fldCharType="begin"/>
    </w:r>
    <w:r w:rsidRPr="00DC26B5">
      <w:rPr>
        <w:sz w:val="20"/>
        <w:szCs w:val="20"/>
      </w:rPr>
      <w:instrText xml:space="preserve"> NUMPAGES  \* Arabic  \* MERGEFORMAT </w:instrText>
    </w:r>
    <w:r w:rsidRPr="00DC26B5">
      <w:rPr>
        <w:sz w:val="20"/>
        <w:szCs w:val="20"/>
      </w:rPr>
      <w:fldChar w:fldCharType="separate"/>
    </w:r>
    <w:r w:rsidR="00C60735">
      <w:rPr>
        <w:noProof/>
        <w:sz w:val="20"/>
        <w:szCs w:val="20"/>
      </w:rPr>
      <w:t>6</w:t>
    </w:r>
    <w:r w:rsidRPr="00DC26B5">
      <w:rPr>
        <w:sz w:val="20"/>
        <w:szCs w:val="20"/>
      </w:rPr>
      <w:fldChar w:fldCharType="end"/>
    </w:r>
    <w:r>
      <w:rPr>
        <w:sz w:val="20"/>
        <w:szCs w:val="20"/>
      </w:rPr>
      <w:t xml:space="preserve"> (Last Rev. _________)</w:t>
    </w:r>
  </w:p>
  <w:p w:rsidR="00F07C48" w:rsidRDefault="00F07C48">
    <w:pPr>
      <w:pStyle w:val="Footer"/>
    </w:pPr>
  </w:p>
  <w:p w:rsidR="00F07C48" w:rsidRDefault="00F07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81" w:rsidRDefault="00537B81" w:rsidP="00F07C48">
      <w:pPr>
        <w:spacing w:after="0" w:line="240" w:lineRule="auto"/>
      </w:pPr>
      <w:r>
        <w:separator/>
      </w:r>
    </w:p>
  </w:footnote>
  <w:footnote w:type="continuationSeparator" w:id="0">
    <w:p w:rsidR="00537B81" w:rsidRDefault="00537B81" w:rsidP="00F07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B52"/>
    <w:multiLevelType w:val="hybridMultilevel"/>
    <w:tmpl w:val="68F6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6255E7"/>
    <w:multiLevelType w:val="hybridMultilevel"/>
    <w:tmpl w:val="234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C42AA9"/>
    <w:multiLevelType w:val="hybridMultilevel"/>
    <w:tmpl w:val="D5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A1640"/>
    <w:multiLevelType w:val="hybridMultilevel"/>
    <w:tmpl w:val="A7DE6ADA"/>
    <w:lvl w:ilvl="0" w:tplc="1876BA7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5B4582"/>
    <w:multiLevelType w:val="hybridMultilevel"/>
    <w:tmpl w:val="9B62A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DC"/>
    <w:rsid w:val="000054C0"/>
    <w:rsid w:val="000058E2"/>
    <w:rsid w:val="00012941"/>
    <w:rsid w:val="000220F5"/>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D1FC6"/>
    <w:rsid w:val="000E178E"/>
    <w:rsid w:val="000E1E9C"/>
    <w:rsid w:val="000E7C64"/>
    <w:rsid w:val="000F0203"/>
    <w:rsid w:val="000F34EC"/>
    <w:rsid w:val="000F57CC"/>
    <w:rsid w:val="000F6EE2"/>
    <w:rsid w:val="0010008A"/>
    <w:rsid w:val="00102E82"/>
    <w:rsid w:val="00113F33"/>
    <w:rsid w:val="00114F64"/>
    <w:rsid w:val="0012371D"/>
    <w:rsid w:val="00126873"/>
    <w:rsid w:val="00132C7E"/>
    <w:rsid w:val="0013533A"/>
    <w:rsid w:val="00136FE5"/>
    <w:rsid w:val="0016013F"/>
    <w:rsid w:val="001718E4"/>
    <w:rsid w:val="0017410D"/>
    <w:rsid w:val="00191E29"/>
    <w:rsid w:val="00194E32"/>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29AA"/>
    <w:rsid w:val="00224E29"/>
    <w:rsid w:val="00227294"/>
    <w:rsid w:val="00227A62"/>
    <w:rsid w:val="00230487"/>
    <w:rsid w:val="00244C9F"/>
    <w:rsid w:val="002472C9"/>
    <w:rsid w:val="00272EC0"/>
    <w:rsid w:val="002765D0"/>
    <w:rsid w:val="00276B30"/>
    <w:rsid w:val="00290268"/>
    <w:rsid w:val="00292C0F"/>
    <w:rsid w:val="00293E50"/>
    <w:rsid w:val="002A1684"/>
    <w:rsid w:val="002B1595"/>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573A"/>
    <w:rsid w:val="004876E6"/>
    <w:rsid w:val="00490CEA"/>
    <w:rsid w:val="00492434"/>
    <w:rsid w:val="00496E69"/>
    <w:rsid w:val="004A2FEA"/>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B81"/>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55DC2"/>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9D7"/>
    <w:rsid w:val="00771E10"/>
    <w:rsid w:val="007755F7"/>
    <w:rsid w:val="00781038"/>
    <w:rsid w:val="00784B88"/>
    <w:rsid w:val="00785249"/>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6E79"/>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0FFD"/>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60735"/>
    <w:rsid w:val="00C72E26"/>
    <w:rsid w:val="00C762B0"/>
    <w:rsid w:val="00C76A63"/>
    <w:rsid w:val="00C8102E"/>
    <w:rsid w:val="00C838BF"/>
    <w:rsid w:val="00C9079C"/>
    <w:rsid w:val="00C94117"/>
    <w:rsid w:val="00C96FCD"/>
    <w:rsid w:val="00CA174D"/>
    <w:rsid w:val="00CA5C00"/>
    <w:rsid w:val="00CA6F9B"/>
    <w:rsid w:val="00CB52CE"/>
    <w:rsid w:val="00CE112F"/>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63396"/>
    <w:rsid w:val="00E74E8F"/>
    <w:rsid w:val="00E814B9"/>
    <w:rsid w:val="00E83F63"/>
    <w:rsid w:val="00EA2CFC"/>
    <w:rsid w:val="00EA2D5D"/>
    <w:rsid w:val="00EA64AE"/>
    <w:rsid w:val="00EB08D3"/>
    <w:rsid w:val="00EB14C8"/>
    <w:rsid w:val="00EB158E"/>
    <w:rsid w:val="00EC44F7"/>
    <w:rsid w:val="00ED0635"/>
    <w:rsid w:val="00EE76A2"/>
    <w:rsid w:val="00EF7D38"/>
    <w:rsid w:val="00F05BFF"/>
    <w:rsid w:val="00F07C48"/>
    <w:rsid w:val="00F1191F"/>
    <w:rsid w:val="00F14719"/>
    <w:rsid w:val="00F271AF"/>
    <w:rsid w:val="00F350ED"/>
    <w:rsid w:val="00F3649B"/>
    <w:rsid w:val="00F367A0"/>
    <w:rsid w:val="00F425DC"/>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DC"/>
  </w:style>
  <w:style w:type="paragraph" w:styleId="Heading1">
    <w:name w:val="heading 1"/>
    <w:basedOn w:val="Normal"/>
    <w:link w:val="Heading1Char"/>
    <w:qFormat/>
    <w:rsid w:val="00F42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DC"/>
    <w:rPr>
      <w:rFonts w:ascii="Tahoma" w:hAnsi="Tahoma" w:cs="Tahoma"/>
      <w:sz w:val="16"/>
      <w:szCs w:val="16"/>
    </w:rPr>
  </w:style>
  <w:style w:type="character" w:customStyle="1" w:styleId="heading10">
    <w:name w:val="heading1"/>
    <w:basedOn w:val="DefaultParagraphFont"/>
    <w:rsid w:val="00F425DC"/>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F425DC"/>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F425D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425DC"/>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F425DC"/>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48"/>
  </w:style>
  <w:style w:type="paragraph" w:styleId="Footer">
    <w:name w:val="footer"/>
    <w:basedOn w:val="Normal"/>
    <w:link w:val="FooterChar"/>
    <w:uiPriority w:val="99"/>
    <w:unhideWhenUsed/>
    <w:rsid w:val="00F0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DC"/>
  </w:style>
  <w:style w:type="paragraph" w:styleId="Heading1">
    <w:name w:val="heading 1"/>
    <w:basedOn w:val="Normal"/>
    <w:link w:val="Heading1Char"/>
    <w:qFormat/>
    <w:rsid w:val="00F42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DC"/>
    <w:rPr>
      <w:rFonts w:ascii="Tahoma" w:hAnsi="Tahoma" w:cs="Tahoma"/>
      <w:sz w:val="16"/>
      <w:szCs w:val="16"/>
    </w:rPr>
  </w:style>
  <w:style w:type="character" w:customStyle="1" w:styleId="heading10">
    <w:name w:val="heading1"/>
    <w:basedOn w:val="DefaultParagraphFont"/>
    <w:rsid w:val="00F425DC"/>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F425DC"/>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F425D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425DC"/>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F425DC"/>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48"/>
  </w:style>
  <w:style w:type="paragraph" w:styleId="Footer">
    <w:name w:val="footer"/>
    <w:basedOn w:val="Normal"/>
    <w:link w:val="FooterChar"/>
    <w:uiPriority w:val="99"/>
    <w:unhideWhenUsed/>
    <w:rsid w:val="00F0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054DD9BE284D748362B2E06FD69E39"/>
        <w:category>
          <w:name w:val="General"/>
          <w:gallery w:val="placeholder"/>
        </w:category>
        <w:types>
          <w:type w:val="bbPlcHdr"/>
        </w:types>
        <w:behaviors>
          <w:behavior w:val="content"/>
        </w:behaviors>
        <w:guid w:val="{46B7F11D-370C-43B0-93F9-C09F12D326B3}"/>
      </w:docPartPr>
      <w:docPartBody>
        <w:p w:rsidR="00CD4B51" w:rsidRDefault="00647A02" w:rsidP="00647A02">
          <w:pPr>
            <w:pStyle w:val="A3054DD9BE284D748362B2E06FD69E39"/>
          </w:pPr>
          <w:r w:rsidRPr="0094517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02"/>
    <w:rsid w:val="0017737B"/>
    <w:rsid w:val="002F44BA"/>
    <w:rsid w:val="00647A02"/>
    <w:rsid w:val="00CD4B51"/>
    <w:rsid w:val="00F2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A02"/>
    <w:rPr>
      <w:color w:val="808080"/>
    </w:rPr>
  </w:style>
  <w:style w:type="paragraph" w:customStyle="1" w:styleId="788113E71F4646A4BCF1339BE934402C">
    <w:name w:val="788113E71F4646A4BCF1339BE934402C"/>
    <w:rsid w:val="00647A02"/>
  </w:style>
  <w:style w:type="paragraph" w:customStyle="1" w:styleId="26B106DE94084295ACA21320177F7C0D">
    <w:name w:val="26B106DE94084295ACA21320177F7C0D"/>
    <w:rsid w:val="00647A02"/>
  </w:style>
  <w:style w:type="paragraph" w:customStyle="1" w:styleId="A3054DD9BE284D748362B2E06FD69E39">
    <w:name w:val="A3054DD9BE284D748362B2E06FD69E39"/>
    <w:rsid w:val="00647A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A02"/>
    <w:rPr>
      <w:color w:val="808080"/>
    </w:rPr>
  </w:style>
  <w:style w:type="paragraph" w:customStyle="1" w:styleId="788113E71F4646A4BCF1339BE934402C">
    <w:name w:val="788113E71F4646A4BCF1339BE934402C"/>
    <w:rsid w:val="00647A02"/>
  </w:style>
  <w:style w:type="paragraph" w:customStyle="1" w:styleId="26B106DE94084295ACA21320177F7C0D">
    <w:name w:val="26B106DE94084295ACA21320177F7C0D"/>
    <w:rsid w:val="00647A02"/>
  </w:style>
  <w:style w:type="paragraph" w:customStyle="1" w:styleId="A3054DD9BE284D748362B2E06FD69E39">
    <w:name w:val="A3054DD9BE284D748362B2E06FD69E39"/>
    <w:rsid w:val="00647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INSERT LAW FIRM NAME HERE</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2015-04-26T17:12:00Z</dcterms:created>
  <dcterms:modified xsi:type="dcterms:W3CDTF">2015-04-29T02:35:00Z</dcterms:modified>
</cp:coreProperties>
</file>